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04FCE" w14:textId="40AF4F17" w:rsidR="00794DD2" w:rsidRDefault="00787207" w:rsidP="00794DD2">
      <w:pPr>
        <w:pStyle w:val="MainTitle"/>
        <w:widowControl w:val="0"/>
        <w:rPr>
          <w:rFonts w:ascii="Times New Roman" w:hAnsi="Times New Roman" w:cs="Times New Roman"/>
          <w:sz w:val="26"/>
          <w:szCs w:val="26"/>
        </w:rPr>
      </w:pPr>
      <w:bookmarkStart w:id="0" w:name="_Hlk70588239"/>
      <w:r>
        <w:rPr>
          <w:rFonts w:ascii="Times New Roman" w:hAnsi="Times New Roman" w:cs="Times New Roman"/>
          <w:sz w:val="26"/>
          <w:szCs w:val="26"/>
        </w:rPr>
        <w:t xml:space="preserve">The </w:t>
      </w:r>
      <w:r w:rsidR="00794DD2">
        <w:rPr>
          <w:rFonts w:ascii="Times New Roman" w:hAnsi="Times New Roman" w:cs="Times New Roman" w:hint="eastAsia"/>
          <w:sz w:val="26"/>
          <w:szCs w:val="26"/>
        </w:rPr>
        <w:t>S</w:t>
      </w:r>
      <w:r w:rsidR="00794DD2">
        <w:rPr>
          <w:rFonts w:ascii="Times New Roman" w:hAnsi="Times New Roman" w:cs="Times New Roman"/>
          <w:sz w:val="26"/>
          <w:szCs w:val="26"/>
        </w:rPr>
        <w:t xml:space="preserve">afety Assessment of High-Level Radioactive Waste Repository </w:t>
      </w:r>
      <w:bookmarkEnd w:id="0"/>
      <w:r w:rsidR="00794DD2">
        <w:rPr>
          <w:rFonts w:ascii="Times New Roman" w:hAnsi="Times New Roman" w:cs="Times New Roman"/>
          <w:sz w:val="26"/>
          <w:szCs w:val="26"/>
        </w:rPr>
        <w:t>under Various Conditions Using COMSOL-PHREEQC Coupled Model</w:t>
      </w:r>
    </w:p>
    <w:p w14:paraId="1851F21F" w14:textId="77777777" w:rsidR="00794DD2" w:rsidRPr="00794DD2" w:rsidRDefault="00794DD2" w:rsidP="00794DD2">
      <w:pPr>
        <w:pStyle w:val="MainTitle"/>
        <w:widowControl w:val="0"/>
        <w:rPr>
          <w:rFonts w:ascii="Times New Roman" w:eastAsia="한컴바탕" w:hAnsi="Times New Roman" w:cs="Times New Roman"/>
        </w:rPr>
      </w:pPr>
    </w:p>
    <w:p w14:paraId="4B325738" w14:textId="5C1923FC" w:rsidR="00794DD2" w:rsidRPr="007D2905" w:rsidRDefault="00794DD2" w:rsidP="00794DD2">
      <w:pPr>
        <w:wordWrap/>
        <w:snapToGrid w:val="0"/>
        <w:spacing w:after="0" w:line="384" w:lineRule="auto"/>
        <w:jc w:val="center"/>
        <w:textAlignment w:val="baseline"/>
        <w:rPr>
          <w:rFonts w:ascii="Times New Roman" w:eastAsia="굴림" w:hAnsi="Times New Roman" w:cs="Times New Roman"/>
          <w:color w:val="000000"/>
          <w:kern w:val="0"/>
          <w:szCs w:val="20"/>
        </w:rPr>
      </w:pPr>
      <w:r w:rsidRPr="00B02B8A">
        <w:rPr>
          <w:rFonts w:ascii="Times New Roman" w:eastAsia="바탕" w:hAnsi="Times New Roman" w:cs="Times New Roman"/>
          <w:color w:val="000000"/>
          <w:kern w:val="0"/>
          <w:szCs w:val="20"/>
        </w:rPr>
        <w:t>Won Woo Yoon</w:t>
      </w:r>
    </w:p>
    <w:p w14:paraId="6548E0D3" w14:textId="2303F808" w:rsidR="00794DD2" w:rsidRDefault="00794DD2" w:rsidP="00794DD2">
      <w:pPr>
        <w:wordWrap/>
        <w:snapToGrid w:val="0"/>
        <w:spacing w:after="0" w:line="384" w:lineRule="auto"/>
        <w:jc w:val="center"/>
        <w:textAlignment w:val="baseline"/>
        <w:rPr>
          <w:rFonts w:ascii="Times New Roman" w:eastAsia="바탕" w:hAnsi="Times New Roman" w:cs="Times New Roman"/>
          <w:color w:val="000000"/>
          <w:kern w:val="0"/>
          <w:szCs w:val="20"/>
        </w:rPr>
      </w:pPr>
      <w:r>
        <w:rPr>
          <w:rFonts w:ascii="Times New Roman" w:eastAsia="바탕" w:hAnsi="Times New Roman" w:cs="Times New Roman" w:hint="eastAsia"/>
          <w:color w:val="000000"/>
          <w:kern w:val="0"/>
          <w:szCs w:val="20"/>
        </w:rPr>
        <w:t>G</w:t>
      </w:r>
      <w:r>
        <w:rPr>
          <w:rFonts w:ascii="Times New Roman" w:eastAsia="바탕" w:hAnsi="Times New Roman" w:cs="Times New Roman"/>
          <w:color w:val="000000"/>
          <w:kern w:val="0"/>
          <w:szCs w:val="20"/>
        </w:rPr>
        <w:t>eologic Fluid Dynamics &amp; Geofluids laboratory</w:t>
      </w:r>
    </w:p>
    <w:p w14:paraId="097DF6A1" w14:textId="77777777" w:rsidR="00794DD2" w:rsidRPr="007D2905" w:rsidRDefault="00794DD2" w:rsidP="00794DD2">
      <w:pPr>
        <w:wordWrap/>
        <w:snapToGrid w:val="0"/>
        <w:spacing w:after="0" w:line="384" w:lineRule="auto"/>
        <w:jc w:val="center"/>
        <w:textAlignment w:val="baseline"/>
        <w:rPr>
          <w:rFonts w:ascii="Times New Roman" w:eastAsia="굴림" w:hAnsi="Times New Roman" w:cs="Times New Roman"/>
          <w:color w:val="000000"/>
          <w:kern w:val="0"/>
          <w:sz w:val="22"/>
        </w:rPr>
      </w:pPr>
      <w:r>
        <w:rPr>
          <w:rFonts w:ascii="Times New Roman" w:eastAsia="바탕" w:hAnsi="Times New Roman" w:cs="Times New Roman"/>
          <w:color w:val="000000"/>
          <w:kern w:val="0"/>
          <w:szCs w:val="20"/>
          <w:u w:color="000000"/>
        </w:rPr>
        <w:t xml:space="preserve">yysam15@yonsei.ac.kr </w:t>
      </w:r>
    </w:p>
    <w:p w14:paraId="406B2633" w14:textId="77777777" w:rsidR="00794DD2" w:rsidRDefault="00794DD2" w:rsidP="00794DD2">
      <w:pPr>
        <w:wordWrap/>
        <w:adjustRightInd w:val="0"/>
        <w:snapToGrid w:val="0"/>
        <w:spacing w:after="0" w:line="240" w:lineRule="auto"/>
        <w:ind w:firstLineChars="100" w:firstLine="220"/>
        <w:textAlignment w:val="baseline"/>
        <w:rPr>
          <w:rFonts w:ascii="Times New Roman" w:eastAsia="바탕" w:hAnsi="Times New Roman" w:cs="Times New Roman"/>
          <w:color w:val="000000"/>
          <w:kern w:val="0"/>
          <w:sz w:val="22"/>
        </w:rPr>
      </w:pPr>
    </w:p>
    <w:p w14:paraId="69A556B4" w14:textId="754F8E29" w:rsidR="00794DD2" w:rsidRPr="00794DD2" w:rsidRDefault="00794DD2" w:rsidP="00794DD2">
      <w:pPr>
        <w:wordWrap/>
        <w:adjustRightInd w:val="0"/>
        <w:snapToGrid w:val="0"/>
        <w:spacing w:after="0" w:line="360" w:lineRule="auto"/>
        <w:ind w:firstLineChars="100" w:firstLine="240"/>
        <w:textAlignment w:val="baseline"/>
        <w:rPr>
          <w:rFonts w:ascii="Times New Roman" w:eastAsia="바탕" w:hAnsi="Times New Roman" w:cs="Times New Roman"/>
          <w:color w:val="000000"/>
          <w:kern w:val="0"/>
          <w:sz w:val="24"/>
          <w:szCs w:val="24"/>
        </w:rPr>
      </w:pPr>
      <w:r w:rsidRPr="00794DD2">
        <w:rPr>
          <w:rFonts w:ascii="Times New Roman" w:eastAsia="바탕" w:hAnsi="Times New Roman" w:cs="Times New Roman"/>
          <w:color w:val="000000"/>
          <w:kern w:val="0"/>
          <w:sz w:val="24"/>
          <w:szCs w:val="24"/>
        </w:rPr>
        <w:t xml:space="preserve">The effect of various physicochemical processes, such as seawater intrusion, on the performance of the engineered barrier </w:t>
      </w:r>
      <w:r>
        <w:rPr>
          <w:rFonts w:ascii="Times New Roman" w:eastAsia="바탕" w:hAnsi="Times New Roman" w:cs="Times New Roman"/>
          <w:color w:val="000000"/>
          <w:kern w:val="0"/>
          <w:sz w:val="24"/>
          <w:szCs w:val="24"/>
        </w:rPr>
        <w:t xml:space="preserve">for </w:t>
      </w:r>
      <w:r w:rsidR="00095C6E">
        <w:rPr>
          <w:rFonts w:ascii="Times New Roman" w:eastAsia="바탕" w:hAnsi="Times New Roman" w:cs="Times New Roman"/>
          <w:color w:val="000000"/>
          <w:kern w:val="0"/>
          <w:sz w:val="24"/>
          <w:szCs w:val="24"/>
        </w:rPr>
        <w:t xml:space="preserve">the </w:t>
      </w:r>
      <w:r>
        <w:rPr>
          <w:rFonts w:ascii="Times New Roman" w:eastAsia="바탕" w:hAnsi="Times New Roman" w:cs="Times New Roman"/>
          <w:color w:val="000000"/>
          <w:kern w:val="0"/>
          <w:sz w:val="24"/>
          <w:szCs w:val="24"/>
        </w:rPr>
        <w:t xml:space="preserve">high-level radioactive waste repository </w:t>
      </w:r>
      <w:r w:rsidRPr="00794DD2">
        <w:rPr>
          <w:rFonts w:ascii="Times New Roman" w:eastAsia="바탕" w:hAnsi="Times New Roman" w:cs="Times New Roman"/>
          <w:color w:val="000000"/>
          <w:kern w:val="0"/>
          <w:sz w:val="24"/>
          <w:szCs w:val="24"/>
        </w:rPr>
        <w:t xml:space="preserve">should be closely analyzed to precisely assess the </w:t>
      </w:r>
      <w:r>
        <w:rPr>
          <w:rFonts w:ascii="Times New Roman" w:eastAsia="바탕" w:hAnsi="Times New Roman" w:cs="Times New Roman"/>
          <w:color w:val="000000"/>
          <w:kern w:val="0"/>
          <w:sz w:val="24"/>
          <w:szCs w:val="24"/>
        </w:rPr>
        <w:t xml:space="preserve">long-term </w:t>
      </w:r>
      <w:r w:rsidRPr="00794DD2">
        <w:rPr>
          <w:rFonts w:ascii="Times New Roman" w:eastAsia="바탕" w:hAnsi="Times New Roman" w:cs="Times New Roman"/>
          <w:color w:val="000000"/>
          <w:kern w:val="0"/>
          <w:sz w:val="24"/>
          <w:szCs w:val="24"/>
        </w:rPr>
        <w:t xml:space="preserve">safety. In order to evaluate the impact of such processes, a thermal-hydrological-chemical model was developed by </w:t>
      </w:r>
      <w:r>
        <w:rPr>
          <w:rFonts w:ascii="Times New Roman" w:eastAsia="바탕" w:hAnsi="Times New Roman" w:cs="Times New Roman"/>
          <w:color w:val="000000"/>
          <w:kern w:val="0"/>
          <w:sz w:val="24"/>
          <w:szCs w:val="24"/>
        </w:rPr>
        <w:t xml:space="preserve">coupling </w:t>
      </w:r>
      <w:r w:rsidR="00787207">
        <w:rPr>
          <w:rFonts w:ascii="Times New Roman" w:eastAsia="바탕" w:hAnsi="Times New Roman" w:cs="Times New Roman"/>
          <w:color w:val="000000"/>
          <w:kern w:val="0"/>
          <w:sz w:val="24"/>
          <w:szCs w:val="24"/>
        </w:rPr>
        <w:t xml:space="preserve">the </w:t>
      </w:r>
      <w:r w:rsidRPr="00794DD2">
        <w:rPr>
          <w:rFonts w:ascii="Times New Roman" w:eastAsia="바탕" w:hAnsi="Times New Roman" w:cs="Times New Roman"/>
          <w:color w:val="000000"/>
          <w:kern w:val="0"/>
          <w:sz w:val="24"/>
          <w:szCs w:val="24"/>
        </w:rPr>
        <w:t xml:space="preserve">COMSOL Multiphysics and PHREEQC. The coupling of two software was achieved through the application of a sequential non-iterative approach. Model verification was executed through a comparative analysis between the outcomes derived from the developed model and those obtained in prior investigations. Two data were in a good agreement, </w:t>
      </w:r>
      <w:r w:rsidR="00787207">
        <w:rPr>
          <w:rFonts w:ascii="Times New Roman" w:eastAsia="바탕" w:hAnsi="Times New Roman" w:cs="Times New Roman"/>
          <w:color w:val="000000"/>
          <w:kern w:val="0"/>
          <w:sz w:val="24"/>
          <w:szCs w:val="24"/>
        </w:rPr>
        <w:t xml:space="preserve">indicating that </w:t>
      </w:r>
      <w:r w:rsidRPr="00794DD2">
        <w:rPr>
          <w:rFonts w:ascii="Times New Roman" w:eastAsia="바탕" w:hAnsi="Times New Roman" w:cs="Times New Roman"/>
          <w:color w:val="000000"/>
          <w:kern w:val="0"/>
          <w:sz w:val="24"/>
          <w:szCs w:val="24"/>
        </w:rPr>
        <w:t>the model is capable of simulating</w:t>
      </w:r>
      <w:r w:rsidR="00787207">
        <w:rPr>
          <w:rFonts w:ascii="Times New Roman" w:eastAsia="바탕" w:hAnsi="Times New Roman" w:cs="Times New Roman"/>
          <w:color w:val="000000"/>
          <w:kern w:val="0"/>
          <w:sz w:val="24"/>
          <w:szCs w:val="24"/>
        </w:rPr>
        <w:t xml:space="preserve"> complex reactive transport process</w:t>
      </w:r>
      <w:r w:rsidR="00095C6E">
        <w:rPr>
          <w:rFonts w:ascii="Times New Roman" w:eastAsia="바탕" w:hAnsi="Times New Roman" w:cs="Times New Roman"/>
          <w:color w:val="000000"/>
          <w:kern w:val="0"/>
          <w:sz w:val="24"/>
          <w:szCs w:val="24"/>
        </w:rPr>
        <w:t>es</w:t>
      </w:r>
      <w:r w:rsidRPr="00794DD2">
        <w:rPr>
          <w:rFonts w:ascii="Times New Roman" w:eastAsia="바탕" w:hAnsi="Times New Roman" w:cs="Times New Roman"/>
          <w:color w:val="000000"/>
          <w:kern w:val="0"/>
          <w:sz w:val="24"/>
          <w:szCs w:val="24"/>
        </w:rPr>
        <w:t>. Using the developed model, the geochemical evolution of bentonite buffer under a general condition was simulated as a base case. The model domain consists of 0.5 m of bentonite and 49.5 m of granite. The uraninite (UO</w:t>
      </w:r>
      <w:r w:rsidRPr="00794DD2">
        <w:rPr>
          <w:rFonts w:ascii="Times New Roman" w:eastAsia="바탕" w:hAnsi="Times New Roman" w:cs="Times New Roman"/>
          <w:color w:val="000000"/>
          <w:kern w:val="0"/>
          <w:sz w:val="24"/>
          <w:szCs w:val="24"/>
          <w:vertAlign w:val="subscript"/>
        </w:rPr>
        <w:t>2</w:t>
      </w:r>
      <w:r w:rsidRPr="00794DD2">
        <w:rPr>
          <w:rFonts w:ascii="Times New Roman" w:eastAsia="바탕" w:hAnsi="Times New Roman" w:cs="Times New Roman"/>
          <w:color w:val="000000"/>
          <w:kern w:val="0"/>
          <w:sz w:val="24"/>
          <w:szCs w:val="24"/>
        </w:rPr>
        <w:t>) was assigned at the canister-bentonite interface as the potential source of uranium. Assuming the lifetime of canister as 1,000 years, the porewater mixing without uranium leakage was simulated for 1,000 years. After then, the uranium leakage through the dissolution of uraninite was initiated and simulated for additional 1,000 years. In the base case model, the gypsum tended to dissolve throughout the bentonite, while it precipitated in the vicinity of bentonite-granite boundary due to the porewater mixing between the bentonite and granite. However, this only showed a limited effect on the performance of the bentonite. Due to the low solubility of uraninite in the reduced environment, only infinitesimal amounts of uranium dissolved and transported through the bentonite. Additional cases considering various environmental processes, such as seawater or cement porewater intrusion, will be further investigated.</w:t>
      </w:r>
    </w:p>
    <w:sectPr w:rsidR="00794DD2" w:rsidRPr="00794DD2" w:rsidSect="00794DD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컴바탕">
    <w:altName w:val="바탕"/>
    <w:panose1 w:val="02030600000101010101"/>
    <w:charset w:val="81"/>
    <w:family w:val="roman"/>
    <w:pitch w:val="variable"/>
    <w:sig w:usb0="F7FFAFFF" w:usb1="FBDFFFFF" w:usb2="00FFFFFF" w:usb3="00000000" w:csb0="803F01FF" w:csb1="00000000"/>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D2"/>
    <w:rsid w:val="00095C6E"/>
    <w:rsid w:val="000E384D"/>
    <w:rsid w:val="003122F1"/>
    <w:rsid w:val="003D2FEC"/>
    <w:rsid w:val="00787207"/>
    <w:rsid w:val="00794DD2"/>
    <w:rsid w:val="00AC5ABF"/>
    <w:rsid w:val="00E44A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21FB2"/>
  <w15:chartTrackingRefBased/>
  <w15:docId w15:val="{A84DD9E2-EB84-4DCA-B13C-F042A0312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DD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94DD2"/>
    <w:pPr>
      <w:snapToGrid w:val="0"/>
      <w:spacing w:after="0" w:line="384" w:lineRule="auto"/>
      <w:textAlignment w:val="baseline"/>
    </w:pPr>
    <w:rPr>
      <w:rFonts w:ascii="굴림" w:eastAsia="굴림" w:hAnsi="굴림" w:cs="굴림"/>
      <w:color w:val="000000"/>
      <w:kern w:val="0"/>
      <w:szCs w:val="20"/>
    </w:rPr>
  </w:style>
  <w:style w:type="paragraph" w:customStyle="1" w:styleId="MainTitle">
    <w:name w:val="Main Title"/>
    <w:basedOn w:val="a"/>
    <w:rsid w:val="00794DD2"/>
    <w:pPr>
      <w:widowControl/>
      <w:wordWrap/>
      <w:spacing w:after="0" w:line="240" w:lineRule="auto"/>
      <w:jc w:val="center"/>
      <w:textAlignment w:val="baseline"/>
    </w:pPr>
    <w:rPr>
      <w:rFonts w:ascii="굴림" w:eastAsia="굴림" w:hAnsi="굴림" w:cs="굴림"/>
      <w:b/>
      <w:bC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3A80F-1E48-4683-8F30-58DFA2CD0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318</Words>
  <Characters>1814</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윤원우</dc:creator>
  <cp:keywords/>
  <dc:description/>
  <cp:lastModifiedBy>윤원우</cp:lastModifiedBy>
  <cp:revision>3</cp:revision>
  <dcterms:created xsi:type="dcterms:W3CDTF">2023-09-18T11:56:00Z</dcterms:created>
  <dcterms:modified xsi:type="dcterms:W3CDTF">2023-09-18T12:16:00Z</dcterms:modified>
</cp:coreProperties>
</file>