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F5C397" w14:textId="77777777" w:rsidR="00C85BF0" w:rsidRPr="00D708EB" w:rsidRDefault="00C85BF0" w:rsidP="00C85BF0">
      <w:pPr>
        <w:pStyle w:val="a3"/>
        <w:jc w:val="center"/>
        <w:rPr>
          <w:rFonts w:ascii="Arial" w:hAnsi="Arial" w:cs="Arial"/>
          <w:b/>
          <w:bCs/>
          <w:sz w:val="26"/>
          <w:szCs w:val="26"/>
          <w:lang w:val="en-US"/>
        </w:rPr>
      </w:pPr>
      <w:r w:rsidRPr="00D708EB">
        <w:rPr>
          <w:rFonts w:ascii="Arial" w:hAnsi="Arial" w:cs="Arial"/>
          <w:b/>
          <w:bCs/>
          <w:sz w:val="26"/>
          <w:szCs w:val="26"/>
          <w:lang w:val="en-US"/>
        </w:rPr>
        <w:t>Reaction between the feldspars and water in the Earth’s transition zone</w:t>
      </w:r>
    </w:p>
    <w:p w14:paraId="40373EF8" w14:textId="77777777" w:rsidR="00E15AEB" w:rsidRPr="00C85BF0" w:rsidRDefault="00E15AEB" w:rsidP="00E15AEB">
      <w:pPr>
        <w:spacing w:after="0" w:line="240" w:lineRule="auto"/>
        <w:jc w:val="center"/>
        <w:rPr>
          <w:rFonts w:ascii="Arial" w:hAnsi="Arial" w:cs="Arial"/>
          <w:sz w:val="20"/>
          <w:szCs w:val="20"/>
        </w:rPr>
      </w:pPr>
      <w:r w:rsidRPr="00C85BF0">
        <w:rPr>
          <w:rFonts w:ascii="Arial" w:hAnsi="Arial" w:cs="Arial"/>
          <w:sz w:val="20"/>
          <w:szCs w:val="20"/>
        </w:rPr>
        <w:t>Yeonhak Jung</w:t>
      </w:r>
    </w:p>
    <w:p w14:paraId="7B1A78A0" w14:textId="77777777" w:rsidR="00C85BF0" w:rsidRPr="00C85BF0" w:rsidRDefault="00C85BF0" w:rsidP="00C85BF0">
      <w:pPr>
        <w:spacing w:after="0" w:line="240" w:lineRule="auto"/>
        <w:jc w:val="center"/>
        <w:rPr>
          <w:rFonts w:ascii="Arial" w:hAnsi="Arial" w:cs="Arial"/>
          <w:sz w:val="20"/>
          <w:szCs w:val="20"/>
        </w:rPr>
      </w:pPr>
      <w:r w:rsidRPr="00C85BF0">
        <w:rPr>
          <w:rFonts w:ascii="Arial" w:hAnsi="Arial" w:cs="Arial"/>
          <w:sz w:val="20"/>
          <w:szCs w:val="20"/>
        </w:rPr>
        <w:t>Crystallography Lab</w:t>
      </w:r>
    </w:p>
    <w:p w14:paraId="569BB158" w14:textId="77777777" w:rsidR="00C85BF0" w:rsidRPr="00C85BF0" w:rsidRDefault="00C85BF0" w:rsidP="00C85BF0">
      <w:pPr>
        <w:spacing w:after="0" w:line="240" w:lineRule="auto"/>
        <w:jc w:val="center"/>
        <w:rPr>
          <w:rFonts w:ascii="Arial" w:hAnsi="Arial" w:cs="Arial"/>
          <w:sz w:val="20"/>
          <w:szCs w:val="20"/>
          <w:lang w:val="en-US"/>
        </w:rPr>
      </w:pPr>
      <w:r w:rsidRPr="00C85BF0">
        <w:rPr>
          <w:rFonts w:ascii="Arial" w:hAnsi="Arial" w:cs="Arial"/>
          <w:sz w:val="20"/>
          <w:szCs w:val="20"/>
        </w:rPr>
        <w:t>Department of Earth System Sciences, Yonsei University, Seoul, Republic of Korea</w:t>
      </w:r>
      <w:r w:rsidRPr="00C85BF0">
        <w:rPr>
          <w:rFonts w:ascii="Arial" w:hAnsi="Arial" w:cs="Arial"/>
        </w:rPr>
        <w:br/>
      </w:r>
    </w:p>
    <w:p w14:paraId="32E90FAB" w14:textId="39679A6A" w:rsidR="00C85BF0" w:rsidRPr="00C85BF0" w:rsidRDefault="00C85BF0" w:rsidP="00C85BF0">
      <w:pPr>
        <w:spacing w:after="0" w:line="240" w:lineRule="auto"/>
        <w:rPr>
          <w:rFonts w:ascii="Arial" w:hAnsi="Arial" w:cs="Arial"/>
          <w:sz w:val="20"/>
          <w:szCs w:val="20"/>
          <w:lang w:val="en-US"/>
        </w:rPr>
      </w:pPr>
      <w:r w:rsidRPr="00C85BF0">
        <w:rPr>
          <w:rFonts w:ascii="Arial" w:hAnsi="Arial" w:cs="Arial"/>
          <w:sz w:val="20"/>
          <w:szCs w:val="20"/>
          <w:lang w:val="en-US"/>
        </w:rPr>
        <w:t>Comprehending the dynamic processes of the Earth necessitates comprehensive understanding on the recycling of water from the surface to its deep interior. An estimation of the global water cycle suggests that an annual throughput of approximately 3 × 10</w:t>
      </w:r>
      <w:r w:rsidRPr="00C85BF0">
        <w:rPr>
          <w:rFonts w:ascii="Arial" w:hAnsi="Arial" w:cs="Arial"/>
          <w:sz w:val="20"/>
          <w:szCs w:val="20"/>
          <w:vertAlign w:val="superscript"/>
          <w:lang w:val="en-US"/>
        </w:rPr>
        <w:t>11</w:t>
      </w:r>
      <w:r w:rsidRPr="00C85BF0">
        <w:rPr>
          <w:rFonts w:ascii="Arial" w:hAnsi="Arial" w:cs="Arial"/>
          <w:sz w:val="20"/>
          <w:szCs w:val="20"/>
          <w:lang w:val="en-US"/>
        </w:rPr>
        <w:t xml:space="preserve"> kg of water bound in the tectonic plate penetrates to the deep interior of the Earth through the subduction process. In this regard, water-bearing minerals composing a subducting slab serve a pivotal role for the transportation of water to the deep Earth. One of the under-explored host candidates for water transportation is hollandite-type minerals, which are the transformation products from subducting feldspars and known to be stable down to the core-mantle boundary conditions. Therefore, studies on the water transportation scheme by feldspars-to-hollandite transition will extend our understanding of the Earth’s volatile cycles and related dynamic processes.</w:t>
      </w:r>
    </w:p>
    <w:p w14:paraId="320AEFA9" w14:textId="77777777" w:rsidR="00C85BF0" w:rsidRPr="00C85BF0" w:rsidRDefault="00C85BF0" w:rsidP="00C85BF0">
      <w:pPr>
        <w:spacing w:after="0" w:line="240" w:lineRule="auto"/>
        <w:rPr>
          <w:rFonts w:ascii="Arial" w:hAnsi="Arial" w:cs="Arial"/>
          <w:b/>
          <w:sz w:val="24"/>
          <w:szCs w:val="24"/>
        </w:rPr>
      </w:pPr>
    </w:p>
    <w:p w14:paraId="727317BF" w14:textId="78D13DAA" w:rsidR="008C4835" w:rsidRDefault="00C85BF0" w:rsidP="00C85BF0">
      <w:pPr>
        <w:rPr>
          <w:rFonts w:ascii="Arial" w:hAnsi="Arial" w:cs="Arial"/>
          <w:bCs/>
          <w:iCs/>
          <w:sz w:val="20"/>
          <w:szCs w:val="20"/>
          <w:lang w:val="en-US" w:eastAsia="ko-KR"/>
        </w:rPr>
      </w:pPr>
      <w:r w:rsidRPr="00162908">
        <w:rPr>
          <w:rFonts w:ascii="Arial" w:hAnsi="Arial" w:cs="Arial"/>
          <w:bCs/>
          <w:iCs/>
          <w:sz w:val="20"/>
          <w:szCs w:val="20"/>
          <w:lang w:val="en-US"/>
        </w:rPr>
        <w:t xml:space="preserve">Feldspars, a family of framework silicate minerals containing Na, K, and Ca, are one of the major constituents in </w:t>
      </w:r>
      <w:r w:rsidRPr="00162908">
        <w:rPr>
          <w:rFonts w:ascii="Arial" w:hAnsi="Arial" w:cs="Arial"/>
          <w:bCs/>
          <w:iCs/>
          <w:sz w:val="20"/>
          <w:szCs w:val="20"/>
          <w:lang w:val="en-US" w:eastAsia="ko-KR"/>
        </w:rPr>
        <w:t>the</w:t>
      </w:r>
      <w:r w:rsidRPr="00162908">
        <w:rPr>
          <w:rFonts w:ascii="Arial" w:hAnsi="Arial" w:cs="Arial"/>
          <w:bCs/>
          <w:iCs/>
          <w:sz w:val="20"/>
          <w:szCs w:val="20"/>
          <w:lang w:val="en-US"/>
        </w:rPr>
        <w:t xml:space="preserve"> crus</w:t>
      </w:r>
      <w:r>
        <w:rPr>
          <w:rFonts w:ascii="Arial" w:hAnsi="Arial" w:cs="Arial" w:hint="eastAsia"/>
          <w:bCs/>
          <w:iCs/>
          <w:sz w:val="20"/>
          <w:szCs w:val="20"/>
          <w:lang w:val="en-US" w:eastAsia="ko-KR"/>
        </w:rPr>
        <w:t>t</w:t>
      </w:r>
      <w:r>
        <w:rPr>
          <w:rFonts w:ascii="Arial" w:hAnsi="Arial" w:cs="Arial"/>
          <w:bCs/>
          <w:iCs/>
          <w:sz w:val="20"/>
          <w:szCs w:val="20"/>
          <w:lang w:val="en-US" w:eastAsia="ko-KR"/>
        </w:rPr>
        <w:t xml:space="preserve">. </w:t>
      </w:r>
      <w:r w:rsidRPr="00C85BF0">
        <w:rPr>
          <w:rFonts w:ascii="Arial" w:hAnsi="Arial" w:cs="Arial"/>
          <w:bCs/>
          <w:iCs/>
          <w:sz w:val="20"/>
          <w:szCs w:val="20"/>
          <w:lang w:val="en-US" w:eastAsia="ko-KR"/>
        </w:rPr>
        <w:t>When feldspars in the oceanic crust subduct along “water-free” geothermal gradients, they are known to breakdown into anhydrous mantle mineral assemblage. Orthoclase (KAlSi</w:t>
      </w:r>
      <w:r w:rsidRPr="00E15AEB">
        <w:rPr>
          <w:rFonts w:ascii="Arial" w:hAnsi="Arial" w:cs="Arial"/>
          <w:bCs/>
          <w:iCs/>
          <w:sz w:val="20"/>
          <w:szCs w:val="20"/>
          <w:vertAlign w:val="subscript"/>
          <w:lang w:val="en-US" w:eastAsia="ko-KR"/>
        </w:rPr>
        <w:t>3</w:t>
      </w:r>
      <w:r w:rsidRPr="00C85BF0">
        <w:rPr>
          <w:rFonts w:ascii="Arial" w:hAnsi="Arial" w:cs="Arial"/>
          <w:bCs/>
          <w:iCs/>
          <w:sz w:val="20"/>
          <w:szCs w:val="20"/>
          <w:lang w:val="en-US" w:eastAsia="ko-KR"/>
        </w:rPr>
        <w:t>O</w:t>
      </w:r>
      <w:r w:rsidRPr="00E15AEB">
        <w:rPr>
          <w:rFonts w:ascii="Arial" w:hAnsi="Arial" w:cs="Arial"/>
          <w:bCs/>
          <w:iCs/>
          <w:sz w:val="20"/>
          <w:szCs w:val="20"/>
          <w:vertAlign w:val="subscript"/>
          <w:lang w:val="en-US" w:eastAsia="ko-KR"/>
        </w:rPr>
        <w:t>8</w:t>
      </w:r>
      <w:r w:rsidRPr="00C85BF0">
        <w:rPr>
          <w:rFonts w:ascii="Arial" w:hAnsi="Arial" w:cs="Arial"/>
          <w:bCs/>
          <w:iCs/>
          <w:sz w:val="20"/>
          <w:szCs w:val="20"/>
          <w:lang w:val="en-US" w:eastAsia="ko-KR"/>
        </w:rPr>
        <w:t xml:space="preserve">), the potassium </w:t>
      </w:r>
      <w:proofErr w:type="gramStart"/>
      <w:r w:rsidRPr="00C85BF0">
        <w:rPr>
          <w:rFonts w:ascii="Arial" w:hAnsi="Arial" w:cs="Arial"/>
          <w:bCs/>
          <w:iCs/>
          <w:sz w:val="20"/>
          <w:szCs w:val="20"/>
          <w:lang w:val="en-US" w:eastAsia="ko-KR"/>
        </w:rPr>
        <w:t>end-member</w:t>
      </w:r>
      <w:proofErr w:type="gramEnd"/>
      <w:r w:rsidRPr="00C85BF0">
        <w:rPr>
          <w:rFonts w:ascii="Arial" w:hAnsi="Arial" w:cs="Arial"/>
          <w:bCs/>
          <w:iCs/>
          <w:sz w:val="20"/>
          <w:szCs w:val="20"/>
          <w:lang w:val="en-US" w:eastAsia="ko-KR"/>
        </w:rPr>
        <w:t xml:space="preserve"> of the feldspar, breaks down to wadeite (K</w:t>
      </w:r>
      <w:r w:rsidRPr="00E15AEB">
        <w:rPr>
          <w:rFonts w:ascii="Arial" w:hAnsi="Arial" w:cs="Arial"/>
          <w:bCs/>
          <w:iCs/>
          <w:sz w:val="20"/>
          <w:szCs w:val="20"/>
          <w:vertAlign w:val="subscript"/>
          <w:lang w:val="en-US" w:eastAsia="ko-KR"/>
        </w:rPr>
        <w:t>2</w:t>
      </w:r>
      <w:r w:rsidRPr="00C85BF0">
        <w:rPr>
          <w:rFonts w:ascii="Arial" w:hAnsi="Arial" w:cs="Arial"/>
          <w:bCs/>
          <w:iCs/>
          <w:sz w:val="20"/>
          <w:szCs w:val="20"/>
          <w:lang w:val="en-US" w:eastAsia="ko-KR"/>
        </w:rPr>
        <w:t>Si</w:t>
      </w:r>
      <w:r w:rsidRPr="00E15AEB">
        <w:rPr>
          <w:rFonts w:ascii="Arial" w:hAnsi="Arial" w:cs="Arial"/>
          <w:bCs/>
          <w:iCs/>
          <w:sz w:val="20"/>
          <w:szCs w:val="20"/>
          <w:vertAlign w:val="subscript"/>
          <w:lang w:val="en-US" w:eastAsia="ko-KR"/>
        </w:rPr>
        <w:t>4</w:t>
      </w:r>
      <w:r w:rsidRPr="00C85BF0">
        <w:rPr>
          <w:rFonts w:ascii="Arial" w:hAnsi="Arial" w:cs="Arial"/>
          <w:bCs/>
          <w:iCs/>
          <w:sz w:val="20"/>
          <w:szCs w:val="20"/>
          <w:lang w:val="en-US" w:eastAsia="ko-KR"/>
        </w:rPr>
        <w:t>O</w:t>
      </w:r>
      <w:r w:rsidRPr="00E15AEB">
        <w:rPr>
          <w:rFonts w:ascii="Arial" w:hAnsi="Arial" w:cs="Arial"/>
          <w:bCs/>
          <w:iCs/>
          <w:sz w:val="20"/>
          <w:szCs w:val="20"/>
          <w:vertAlign w:val="subscript"/>
          <w:lang w:val="en-US" w:eastAsia="ko-KR"/>
        </w:rPr>
        <w:t>9</w:t>
      </w:r>
      <w:r w:rsidRPr="00C85BF0">
        <w:rPr>
          <w:rFonts w:ascii="Arial" w:hAnsi="Arial" w:cs="Arial"/>
          <w:bCs/>
          <w:iCs/>
          <w:sz w:val="20"/>
          <w:szCs w:val="20"/>
          <w:lang w:val="en-US" w:eastAsia="ko-KR"/>
        </w:rPr>
        <w:t>) and kyanite (Al</w:t>
      </w:r>
      <w:r w:rsidRPr="00E15AEB">
        <w:rPr>
          <w:rFonts w:ascii="Arial" w:hAnsi="Arial" w:cs="Arial"/>
          <w:bCs/>
          <w:iCs/>
          <w:sz w:val="20"/>
          <w:szCs w:val="20"/>
          <w:vertAlign w:val="subscript"/>
          <w:lang w:val="en-US" w:eastAsia="ko-KR"/>
        </w:rPr>
        <w:t>2</w:t>
      </w:r>
      <w:r w:rsidRPr="00C85BF0">
        <w:rPr>
          <w:rFonts w:ascii="Arial" w:hAnsi="Arial" w:cs="Arial"/>
          <w:bCs/>
          <w:iCs/>
          <w:sz w:val="20"/>
          <w:szCs w:val="20"/>
          <w:lang w:val="en-US" w:eastAsia="ko-KR"/>
        </w:rPr>
        <w:t>SiO</w:t>
      </w:r>
      <w:r w:rsidRPr="00E15AEB">
        <w:rPr>
          <w:rFonts w:ascii="Arial" w:hAnsi="Arial" w:cs="Arial"/>
          <w:bCs/>
          <w:iCs/>
          <w:sz w:val="20"/>
          <w:szCs w:val="20"/>
          <w:vertAlign w:val="subscript"/>
          <w:lang w:val="en-US" w:eastAsia="ko-KR"/>
        </w:rPr>
        <w:t>5</w:t>
      </w:r>
      <w:r w:rsidRPr="00C85BF0">
        <w:rPr>
          <w:rFonts w:ascii="Arial" w:hAnsi="Arial" w:cs="Arial"/>
          <w:bCs/>
          <w:iCs/>
          <w:sz w:val="20"/>
          <w:szCs w:val="20"/>
          <w:lang w:val="en-US" w:eastAsia="ko-KR"/>
        </w:rPr>
        <w:t xml:space="preserve">) at pressures of 7-8 </w:t>
      </w:r>
      <w:proofErr w:type="spellStart"/>
      <w:r w:rsidRPr="00C85BF0">
        <w:rPr>
          <w:rFonts w:ascii="Arial" w:hAnsi="Arial" w:cs="Arial"/>
          <w:bCs/>
          <w:iCs/>
          <w:sz w:val="20"/>
          <w:szCs w:val="20"/>
          <w:lang w:val="en-US" w:eastAsia="ko-KR"/>
        </w:rPr>
        <w:t>GPa</w:t>
      </w:r>
      <w:proofErr w:type="spellEnd"/>
      <w:r w:rsidRPr="00C85BF0">
        <w:rPr>
          <w:rFonts w:ascii="Arial" w:hAnsi="Arial" w:cs="Arial"/>
          <w:bCs/>
          <w:iCs/>
          <w:sz w:val="20"/>
          <w:szCs w:val="20"/>
          <w:lang w:val="en-US" w:eastAsia="ko-KR"/>
        </w:rPr>
        <w:t>, which then recombine to form a hollandite-type phase (KAlSi</w:t>
      </w:r>
      <w:r w:rsidRPr="00E15AEB">
        <w:rPr>
          <w:rFonts w:ascii="Arial" w:hAnsi="Arial" w:cs="Arial"/>
          <w:bCs/>
          <w:iCs/>
          <w:sz w:val="20"/>
          <w:szCs w:val="20"/>
          <w:vertAlign w:val="subscript"/>
          <w:lang w:val="en-US" w:eastAsia="ko-KR"/>
        </w:rPr>
        <w:t>3</w:t>
      </w:r>
      <w:r w:rsidRPr="00C85BF0">
        <w:rPr>
          <w:rFonts w:ascii="Arial" w:hAnsi="Arial" w:cs="Arial"/>
          <w:bCs/>
          <w:iCs/>
          <w:sz w:val="20"/>
          <w:szCs w:val="20"/>
          <w:lang w:val="en-US" w:eastAsia="ko-KR"/>
        </w:rPr>
        <w:t>O</w:t>
      </w:r>
      <w:r w:rsidRPr="00E15AEB">
        <w:rPr>
          <w:rFonts w:ascii="Arial" w:hAnsi="Arial" w:cs="Arial"/>
          <w:bCs/>
          <w:iCs/>
          <w:sz w:val="20"/>
          <w:szCs w:val="20"/>
          <w:vertAlign w:val="subscript"/>
          <w:lang w:val="en-US" w:eastAsia="ko-KR"/>
        </w:rPr>
        <w:t>8</w:t>
      </w:r>
      <w:r w:rsidRPr="00C85BF0">
        <w:rPr>
          <w:rFonts w:ascii="Arial" w:hAnsi="Arial" w:cs="Arial"/>
          <w:bCs/>
          <w:iCs/>
          <w:sz w:val="20"/>
          <w:szCs w:val="20"/>
          <w:lang w:val="en-US" w:eastAsia="ko-KR"/>
        </w:rPr>
        <w:t xml:space="preserve">) at pressures above 10 </w:t>
      </w:r>
      <w:proofErr w:type="spellStart"/>
      <w:r w:rsidRPr="00C85BF0">
        <w:rPr>
          <w:rFonts w:ascii="Arial" w:hAnsi="Arial" w:cs="Arial"/>
          <w:bCs/>
          <w:iCs/>
          <w:sz w:val="20"/>
          <w:szCs w:val="20"/>
          <w:lang w:val="en-US" w:eastAsia="ko-KR"/>
        </w:rPr>
        <w:t>GPa</w:t>
      </w:r>
      <w:proofErr w:type="spellEnd"/>
      <w:r>
        <w:rPr>
          <w:rFonts w:ascii="Arial" w:hAnsi="Arial" w:cs="Arial"/>
          <w:bCs/>
          <w:iCs/>
          <w:sz w:val="20"/>
          <w:szCs w:val="20"/>
          <w:lang w:val="en-US" w:eastAsia="ko-KR"/>
        </w:rPr>
        <w:t xml:space="preserve">. </w:t>
      </w:r>
      <w:r w:rsidRPr="00C85BF0">
        <w:rPr>
          <w:rFonts w:ascii="Arial" w:hAnsi="Arial" w:cs="Arial"/>
          <w:bCs/>
          <w:iCs/>
          <w:sz w:val="20"/>
          <w:szCs w:val="20"/>
          <w:lang w:val="en-US" w:eastAsia="ko-KR"/>
        </w:rPr>
        <w:t>Albite (NaAlSi</w:t>
      </w:r>
      <w:r w:rsidRPr="00E15AEB">
        <w:rPr>
          <w:rFonts w:ascii="Arial" w:hAnsi="Arial" w:cs="Arial"/>
          <w:bCs/>
          <w:iCs/>
          <w:sz w:val="20"/>
          <w:szCs w:val="20"/>
          <w:vertAlign w:val="subscript"/>
          <w:lang w:val="en-US" w:eastAsia="ko-KR"/>
        </w:rPr>
        <w:t>3</w:t>
      </w:r>
      <w:r w:rsidRPr="00C85BF0">
        <w:rPr>
          <w:rFonts w:ascii="Arial" w:hAnsi="Arial" w:cs="Arial"/>
          <w:bCs/>
          <w:iCs/>
          <w:sz w:val="20"/>
          <w:szCs w:val="20"/>
          <w:lang w:val="en-US" w:eastAsia="ko-KR"/>
        </w:rPr>
        <w:t>O</w:t>
      </w:r>
      <w:r w:rsidRPr="00E15AEB">
        <w:rPr>
          <w:rFonts w:ascii="Arial" w:hAnsi="Arial" w:cs="Arial"/>
          <w:bCs/>
          <w:iCs/>
          <w:sz w:val="20"/>
          <w:szCs w:val="20"/>
          <w:vertAlign w:val="subscript"/>
          <w:lang w:val="en-US" w:eastAsia="ko-KR"/>
        </w:rPr>
        <w:t>8</w:t>
      </w:r>
      <w:r w:rsidRPr="00C85BF0">
        <w:rPr>
          <w:rFonts w:ascii="Arial" w:hAnsi="Arial" w:cs="Arial"/>
          <w:bCs/>
          <w:iCs/>
          <w:sz w:val="20"/>
          <w:szCs w:val="20"/>
          <w:lang w:val="en-US" w:eastAsia="ko-KR"/>
        </w:rPr>
        <w:t>) and anorthite (CaAl</w:t>
      </w:r>
      <w:r w:rsidRPr="00E15AEB">
        <w:rPr>
          <w:rFonts w:ascii="Arial" w:hAnsi="Arial" w:cs="Arial"/>
          <w:bCs/>
          <w:iCs/>
          <w:sz w:val="20"/>
          <w:szCs w:val="20"/>
          <w:vertAlign w:val="subscript"/>
          <w:lang w:val="en-US" w:eastAsia="ko-KR"/>
        </w:rPr>
        <w:t>2</w:t>
      </w:r>
      <w:r w:rsidRPr="00C85BF0">
        <w:rPr>
          <w:rFonts w:ascii="Arial" w:hAnsi="Arial" w:cs="Arial"/>
          <w:bCs/>
          <w:iCs/>
          <w:sz w:val="20"/>
          <w:szCs w:val="20"/>
          <w:lang w:val="en-US" w:eastAsia="ko-KR"/>
        </w:rPr>
        <w:t>Si</w:t>
      </w:r>
      <w:r w:rsidRPr="00E15AEB">
        <w:rPr>
          <w:rFonts w:ascii="Arial" w:hAnsi="Arial" w:cs="Arial"/>
          <w:bCs/>
          <w:iCs/>
          <w:sz w:val="20"/>
          <w:szCs w:val="20"/>
          <w:vertAlign w:val="subscript"/>
          <w:lang w:val="en-US" w:eastAsia="ko-KR"/>
        </w:rPr>
        <w:t>2</w:t>
      </w:r>
      <w:r w:rsidRPr="00C85BF0">
        <w:rPr>
          <w:rFonts w:ascii="Arial" w:hAnsi="Arial" w:cs="Arial"/>
          <w:bCs/>
          <w:iCs/>
          <w:sz w:val="20"/>
          <w:szCs w:val="20"/>
          <w:lang w:val="en-US" w:eastAsia="ko-KR"/>
        </w:rPr>
        <w:t>O</w:t>
      </w:r>
      <w:r w:rsidRPr="00E15AEB">
        <w:rPr>
          <w:rFonts w:ascii="Arial" w:hAnsi="Arial" w:cs="Arial"/>
          <w:bCs/>
          <w:iCs/>
          <w:sz w:val="20"/>
          <w:szCs w:val="20"/>
          <w:vertAlign w:val="subscript"/>
          <w:lang w:val="en-US" w:eastAsia="ko-KR"/>
        </w:rPr>
        <w:t>8</w:t>
      </w:r>
      <w:r w:rsidRPr="00C85BF0">
        <w:rPr>
          <w:rFonts w:ascii="Arial" w:hAnsi="Arial" w:cs="Arial"/>
          <w:bCs/>
          <w:iCs/>
          <w:sz w:val="20"/>
          <w:szCs w:val="20"/>
          <w:lang w:val="en-US" w:eastAsia="ko-KR"/>
        </w:rPr>
        <w:t xml:space="preserve">), the other </w:t>
      </w:r>
      <w:proofErr w:type="gramStart"/>
      <w:r w:rsidRPr="00C85BF0">
        <w:rPr>
          <w:rFonts w:ascii="Arial" w:hAnsi="Arial" w:cs="Arial"/>
          <w:bCs/>
          <w:iCs/>
          <w:sz w:val="20"/>
          <w:szCs w:val="20"/>
          <w:lang w:val="en-US" w:eastAsia="ko-KR"/>
        </w:rPr>
        <w:t>end-members</w:t>
      </w:r>
      <w:proofErr w:type="gramEnd"/>
      <w:r w:rsidRPr="00C85BF0">
        <w:rPr>
          <w:rFonts w:ascii="Arial" w:hAnsi="Arial" w:cs="Arial"/>
          <w:bCs/>
          <w:iCs/>
          <w:sz w:val="20"/>
          <w:szCs w:val="20"/>
          <w:lang w:val="en-US" w:eastAsia="ko-KR"/>
        </w:rPr>
        <w:t xml:space="preserve"> of the feldspar, also undergo breakdown to contain a hollandite-type structure. Of significance is the commonality that the hollandite-type structure is formed by all feldspars under the temperature and pressure conditions of the Earth’s mantle transition zone (MTZ).</w:t>
      </w:r>
    </w:p>
    <w:p w14:paraId="067C543D" w14:textId="72009036" w:rsidR="00C85BF0" w:rsidRPr="00C85BF0" w:rsidRDefault="00C85BF0" w:rsidP="00C85BF0">
      <w:pPr>
        <w:rPr>
          <w:rFonts w:ascii="Arial" w:hAnsi="Arial" w:cs="Arial" w:hint="eastAsia"/>
          <w:lang w:eastAsia="ko-KR"/>
        </w:rPr>
      </w:pPr>
      <w:r w:rsidRPr="00C85BF0">
        <w:rPr>
          <w:rFonts w:ascii="Arial" w:hAnsi="Arial" w:cs="Arial"/>
          <w:bCs/>
          <w:iCs/>
          <w:sz w:val="20"/>
          <w:szCs w:val="20"/>
          <w:lang w:val="en-US"/>
        </w:rPr>
        <w:t xml:space="preserve">In recent years, the presence of water in the MTZ has gained prominence by diverse evidence based on high-pressure experiments, seismic investigations, and mineral inclusions within diamond. The hollandite-type structure, possibly </w:t>
      </w:r>
      <w:proofErr w:type="spellStart"/>
      <w:r w:rsidRPr="00C85BF0">
        <w:rPr>
          <w:rFonts w:ascii="Arial" w:hAnsi="Arial" w:cs="Arial"/>
          <w:bCs/>
          <w:iCs/>
          <w:sz w:val="20"/>
          <w:szCs w:val="20"/>
          <w:lang w:val="en-US"/>
        </w:rPr>
        <w:t>favoured</w:t>
      </w:r>
      <w:proofErr w:type="spellEnd"/>
      <w:r w:rsidRPr="00C85BF0">
        <w:rPr>
          <w:rFonts w:ascii="Arial" w:hAnsi="Arial" w:cs="Arial"/>
          <w:bCs/>
          <w:iCs/>
          <w:sz w:val="20"/>
          <w:szCs w:val="20"/>
          <w:lang w:val="en-US"/>
        </w:rPr>
        <w:t xml:space="preserve"> in the MTZ conditions, is characterized by its high affinity for large cations with low valence due to its unique 2 x 2 octahedral tunnel structure where water as well as large cations can be nested. In our LH-DAC experiments, we observed the formation of the hollandite-type structure from feldspars and the expansion of its unit cell volume when it forms under wet transition zone conditions compared to a dry analogue. </w:t>
      </w:r>
      <w:r w:rsidR="00E15AEB" w:rsidRPr="00E15AEB">
        <w:rPr>
          <w:rFonts w:ascii="Arial" w:hAnsi="Arial" w:cs="Arial"/>
          <w:bCs/>
          <w:iCs/>
          <w:sz w:val="20"/>
          <w:szCs w:val="20"/>
          <w:lang w:val="en-US"/>
        </w:rPr>
        <w:t xml:space="preserve">This </w:t>
      </w:r>
      <w:r w:rsidR="00E15AEB">
        <w:rPr>
          <w:rFonts w:ascii="Arial" w:hAnsi="Arial" w:cs="Arial"/>
          <w:bCs/>
          <w:iCs/>
          <w:sz w:val="20"/>
          <w:szCs w:val="20"/>
          <w:lang w:val="en-US"/>
        </w:rPr>
        <w:t>result could</w:t>
      </w:r>
      <w:r w:rsidR="00E15AEB" w:rsidRPr="00E15AEB">
        <w:rPr>
          <w:rFonts w:ascii="Arial" w:hAnsi="Arial" w:cs="Arial"/>
          <w:bCs/>
          <w:iCs/>
          <w:sz w:val="20"/>
          <w:szCs w:val="20"/>
          <w:lang w:val="en-US"/>
        </w:rPr>
        <w:t xml:space="preserve"> </w:t>
      </w:r>
      <w:r w:rsidR="00E15AEB">
        <w:rPr>
          <w:rFonts w:ascii="Arial" w:hAnsi="Arial" w:cs="Arial"/>
          <w:bCs/>
          <w:iCs/>
          <w:sz w:val="20"/>
          <w:szCs w:val="20"/>
          <w:lang w:val="en-US"/>
        </w:rPr>
        <w:t>be an indication</w:t>
      </w:r>
      <w:r w:rsidR="00E15AEB" w:rsidRPr="00E15AEB">
        <w:rPr>
          <w:rFonts w:ascii="Arial" w:hAnsi="Arial" w:cs="Arial"/>
          <w:bCs/>
          <w:iCs/>
          <w:sz w:val="20"/>
          <w:szCs w:val="20"/>
          <w:lang w:val="en-US"/>
        </w:rPr>
        <w:t xml:space="preserve"> of hydration within the tunnel-structured hollandite, thereby offering valuable insights into the mechanism governing the </w:t>
      </w:r>
      <w:r w:rsidR="00E15AEB">
        <w:rPr>
          <w:rFonts w:ascii="Arial" w:hAnsi="Arial" w:cs="Arial"/>
          <w:bCs/>
          <w:iCs/>
          <w:sz w:val="20"/>
          <w:szCs w:val="20"/>
          <w:lang w:val="en-US"/>
        </w:rPr>
        <w:t>cycle and transportation</w:t>
      </w:r>
      <w:r w:rsidR="00E15AEB" w:rsidRPr="00E15AEB">
        <w:rPr>
          <w:rFonts w:ascii="Arial" w:hAnsi="Arial" w:cs="Arial"/>
          <w:bCs/>
          <w:iCs/>
          <w:sz w:val="20"/>
          <w:szCs w:val="20"/>
          <w:lang w:val="en-US"/>
        </w:rPr>
        <w:t xml:space="preserve"> of both water and thermal energy within the profound recesses of the Earth's mantle</w:t>
      </w:r>
      <w:r w:rsidR="00E15AEB">
        <w:rPr>
          <w:rFonts w:ascii="Arial" w:hAnsi="Arial" w:cs="Arial"/>
          <w:bCs/>
          <w:iCs/>
          <w:sz w:val="20"/>
          <w:szCs w:val="20"/>
          <w:lang w:val="en-US"/>
        </w:rPr>
        <w:t>.</w:t>
      </w:r>
    </w:p>
    <w:sectPr w:rsidR="00C85BF0" w:rsidRPr="00C85BF0">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5BF0"/>
    <w:rsid w:val="008C4835"/>
    <w:rsid w:val="00C85BF0"/>
    <w:rsid w:val="00E15AE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24289"/>
  <w15:chartTrackingRefBased/>
  <w15:docId w15:val="{CD6C578F-7B3D-4182-B600-294CB4CF3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85BF0"/>
    <w:pPr>
      <w:spacing w:after="200" w:line="276" w:lineRule="auto"/>
      <w:jc w:val="left"/>
    </w:pPr>
    <w:rPr>
      <w:kern w:val="0"/>
      <w:sz w:val="22"/>
      <w:lang w:val="en-GB"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85BF0"/>
    <w:pPr>
      <w:spacing w:after="0" w:line="240" w:lineRule="auto"/>
      <w:jc w:val="left"/>
    </w:pPr>
    <w:rPr>
      <w:rFonts w:ascii="Calibri" w:hAnsi="Calibri" w:cs="Times New Roman"/>
      <w:kern w:val="0"/>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431</Words>
  <Characters>2463</Characters>
  <Application>Microsoft Office Word</Application>
  <DocSecurity>0</DocSecurity>
  <Lines>20</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Jung Yeonhak</dc:creator>
  <cp:keywords/>
  <dc:description/>
  <cp:lastModifiedBy>Jung Yeonhak</cp:lastModifiedBy>
  <cp:revision>1</cp:revision>
  <dcterms:created xsi:type="dcterms:W3CDTF">2023-10-04T01:17:00Z</dcterms:created>
  <dcterms:modified xsi:type="dcterms:W3CDTF">2023-10-04T01:34:00Z</dcterms:modified>
</cp:coreProperties>
</file>