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C645E" w14:textId="0EDDEBE1" w:rsidR="009072FC" w:rsidRPr="00BA12DE" w:rsidRDefault="009072FC" w:rsidP="00191790">
      <w:pPr>
        <w:pStyle w:val="a3"/>
        <w:jc w:val="center"/>
        <w:rPr>
          <w:b/>
          <w:bCs/>
          <w:lang w:val="en-US"/>
        </w:rPr>
      </w:pPr>
      <w:r w:rsidRPr="009072FC">
        <w:rPr>
          <w:b/>
          <w:bCs/>
          <w:i/>
          <w:iCs/>
        </w:rPr>
        <w:t>CompLaB</w:t>
      </w:r>
      <w:r w:rsidRPr="00BA12DE">
        <w:rPr>
          <w:b/>
          <w:bCs/>
        </w:rPr>
        <w:t>: a scalable pore-scale numerical model for flow, biogeochemistry, microbial metabolism, and biofilm dynamics</w:t>
      </w:r>
    </w:p>
    <w:p w14:paraId="2F3BDE32" w14:textId="4CEB1A33" w:rsidR="009072FC" w:rsidRDefault="009072FC" w:rsidP="00191790">
      <w:pPr>
        <w:spacing w:line="276" w:lineRule="auto"/>
        <w:jc w:val="center"/>
        <w:rPr>
          <w:color w:val="000000" w:themeColor="text1"/>
        </w:rPr>
      </w:pPr>
      <w:proofErr w:type="spellStart"/>
      <w:r>
        <w:rPr>
          <w:color w:val="000000" w:themeColor="text1"/>
        </w:rPr>
        <w:t>Heewon</w:t>
      </w:r>
      <w:proofErr w:type="spellEnd"/>
      <w:r>
        <w:rPr>
          <w:color w:val="000000" w:themeColor="text1"/>
        </w:rPr>
        <w:t xml:space="preserve"> Jung</w:t>
      </w:r>
      <w:r w:rsidRPr="009072FC">
        <w:rPr>
          <w:color w:val="000000" w:themeColor="text1"/>
          <w:vertAlign w:val="superscript"/>
        </w:rPr>
        <w:t>1</w:t>
      </w:r>
      <w:r>
        <w:rPr>
          <w:color w:val="000000" w:themeColor="text1"/>
          <w:vertAlign w:val="superscript"/>
        </w:rPr>
        <w:t>*</w:t>
      </w:r>
    </w:p>
    <w:p w14:paraId="44E0D0F0" w14:textId="77C7F411" w:rsidR="009072FC" w:rsidRDefault="009072FC" w:rsidP="00191790">
      <w:pPr>
        <w:spacing w:line="276" w:lineRule="auto"/>
        <w:jc w:val="center"/>
        <w:rPr>
          <w:color w:val="000000" w:themeColor="text1"/>
        </w:rPr>
      </w:pPr>
      <w:r w:rsidRPr="009072FC">
        <w:rPr>
          <w:rFonts w:eastAsia="Arial"/>
          <w:vertAlign w:val="superscript"/>
        </w:rPr>
        <w:t>1</w:t>
      </w:r>
      <w:r w:rsidRPr="00577794">
        <w:rPr>
          <w:rFonts w:eastAsia="Arial"/>
        </w:rPr>
        <w:t xml:space="preserve">Department of Geological Sciences, </w:t>
      </w:r>
      <w:proofErr w:type="spellStart"/>
      <w:r w:rsidRPr="00577794">
        <w:rPr>
          <w:rFonts w:eastAsia="Arial"/>
        </w:rPr>
        <w:t>Chungnam</w:t>
      </w:r>
      <w:proofErr w:type="spellEnd"/>
      <w:r w:rsidRPr="00577794">
        <w:rPr>
          <w:rFonts w:eastAsia="Arial"/>
        </w:rPr>
        <w:t xml:space="preserve"> National University, Daejeon, South Korea</w:t>
      </w:r>
    </w:p>
    <w:p w14:paraId="5EAADD97" w14:textId="6E4BEFAA" w:rsidR="009072FC" w:rsidRDefault="00000000" w:rsidP="00191790">
      <w:pPr>
        <w:spacing w:line="276" w:lineRule="auto"/>
        <w:jc w:val="center"/>
        <w:rPr>
          <w:color w:val="000000" w:themeColor="text1"/>
        </w:rPr>
      </w:pPr>
      <w:hyperlink r:id="rId6" w:history="1">
        <w:r w:rsidR="009072FC" w:rsidRPr="009072FC">
          <w:rPr>
            <w:rStyle w:val="a4"/>
            <w:vertAlign w:val="superscript"/>
          </w:rPr>
          <w:t>*</w:t>
        </w:r>
        <w:r w:rsidR="009072FC" w:rsidRPr="00CE3E09">
          <w:rPr>
            <w:rStyle w:val="a4"/>
          </w:rPr>
          <w:t>hjung@cnu.ac.kr</w:t>
        </w:r>
      </w:hyperlink>
    </w:p>
    <w:p w14:paraId="641F1DFD" w14:textId="77777777" w:rsidR="009072FC" w:rsidRDefault="009072FC" w:rsidP="009D59A6">
      <w:pPr>
        <w:spacing w:line="276" w:lineRule="auto"/>
        <w:rPr>
          <w:color w:val="000000" w:themeColor="text1"/>
        </w:rPr>
      </w:pPr>
    </w:p>
    <w:p w14:paraId="189C8826" w14:textId="71E00B14" w:rsidR="009072FC" w:rsidRDefault="009072FC" w:rsidP="009D59A6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>Abstract</w:t>
      </w:r>
    </w:p>
    <w:p w14:paraId="08A8CF13" w14:textId="26C7EBB9" w:rsidR="009D59A6" w:rsidRDefault="009D59A6" w:rsidP="009D59A6">
      <w:pPr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Microbial activity and chemical reactions in porous media depend on the local conditions at the pore scale and can involve complex feedback with fluid flow and mass transport. A modeling framework </w:t>
      </w:r>
      <w:proofErr w:type="spellStart"/>
      <w:r w:rsidRPr="009D59A6">
        <w:rPr>
          <w:i/>
          <w:iCs/>
          <w:color w:val="000000" w:themeColor="text1"/>
        </w:rPr>
        <w:t>CompLaB</w:t>
      </w:r>
      <w:proofErr w:type="spellEnd"/>
      <w:r>
        <w:rPr>
          <w:color w:val="000000" w:themeColor="text1"/>
        </w:rPr>
        <w:t xml:space="preserve"> is developed to quantitatively account for the interactions between the bio(geo)chemical and physical processes. </w:t>
      </w:r>
      <w:proofErr w:type="spellStart"/>
      <w:r w:rsidRPr="009D59A6">
        <w:rPr>
          <w:i/>
          <w:iCs/>
          <w:color w:val="000000" w:themeColor="text1"/>
        </w:rPr>
        <w:t>CompLaB</w:t>
      </w:r>
      <w:proofErr w:type="spellEnd"/>
      <w:r>
        <w:rPr>
          <w:color w:val="000000" w:themeColor="text1"/>
        </w:rPr>
        <w:t xml:space="preserve"> </w:t>
      </w:r>
      <w:r w:rsidR="009072FC">
        <w:rPr>
          <w:color w:val="000000" w:themeColor="text1"/>
        </w:rPr>
        <w:t xml:space="preserve">is </w:t>
      </w:r>
      <w:r>
        <w:rPr>
          <w:color w:val="000000" w:themeColor="text1"/>
        </w:rPr>
        <w:t>distinguishe</w:t>
      </w:r>
      <w:r w:rsidR="009072FC">
        <w:rPr>
          <w:color w:val="000000" w:themeColor="text1"/>
        </w:rPr>
        <w:t>d</w:t>
      </w:r>
      <w:r>
        <w:rPr>
          <w:color w:val="000000" w:themeColor="text1"/>
        </w:rPr>
        <w:t xml:space="preserve"> from other </w:t>
      </w:r>
      <w:r w:rsidR="009072FC">
        <w:rPr>
          <w:color w:val="000000" w:themeColor="text1"/>
        </w:rPr>
        <w:t xml:space="preserve">models in that it </w:t>
      </w:r>
      <w:r w:rsidRPr="00577794">
        <w:rPr>
          <w:color w:val="000000" w:themeColor="text1"/>
        </w:rPr>
        <w:t>integrate</w:t>
      </w:r>
      <w:r w:rsidR="009072FC">
        <w:rPr>
          <w:color w:val="000000" w:themeColor="text1"/>
        </w:rPr>
        <w:t>s</w:t>
      </w:r>
      <w:r w:rsidRPr="00577794">
        <w:rPr>
          <w:color w:val="000000" w:themeColor="text1"/>
        </w:rPr>
        <w:t xml:space="preserve"> genome-scale microbial metabolic information into a dynamically changing, spatially explicit representation of environmental conditions. The model couples a </w:t>
      </w:r>
      <w:r>
        <w:rPr>
          <w:color w:val="000000" w:themeColor="text1"/>
        </w:rPr>
        <w:t>L</w:t>
      </w:r>
      <w:r w:rsidRPr="00577794">
        <w:rPr>
          <w:color w:val="000000" w:themeColor="text1"/>
        </w:rPr>
        <w:t>attice-</w:t>
      </w:r>
      <w:r>
        <w:rPr>
          <w:color w:val="000000" w:themeColor="text1"/>
        </w:rPr>
        <w:t>B</w:t>
      </w:r>
      <w:r w:rsidRPr="00577794">
        <w:rPr>
          <w:color w:val="000000" w:themeColor="text1"/>
        </w:rPr>
        <w:t xml:space="preserve">oltzmann implementation of </w:t>
      </w:r>
      <w:r>
        <w:rPr>
          <w:color w:val="000000" w:themeColor="text1"/>
        </w:rPr>
        <w:t>Navier-Stokes</w:t>
      </w:r>
      <w:r w:rsidRPr="00577794">
        <w:rPr>
          <w:color w:val="000000" w:themeColor="text1"/>
        </w:rPr>
        <w:t xml:space="preserve"> </w:t>
      </w:r>
      <w:r>
        <w:rPr>
          <w:color w:val="000000" w:themeColor="text1"/>
        </w:rPr>
        <w:t>(flow)</w:t>
      </w:r>
      <w:r>
        <w:rPr>
          <w:rFonts w:eastAsia="바탕"/>
        </w:rPr>
        <w:t xml:space="preserve"> </w:t>
      </w:r>
      <w:r>
        <w:rPr>
          <w:rFonts w:eastAsia="바탕"/>
          <w:lang w:eastAsia="ko-KR"/>
        </w:rPr>
        <w:t xml:space="preserve">and </w:t>
      </w:r>
      <w:r>
        <w:rPr>
          <w:color w:val="000000" w:themeColor="text1"/>
        </w:rPr>
        <w:t>advection-diffusion-reaction (</w:t>
      </w:r>
      <w:r w:rsidRPr="00577794">
        <w:rPr>
          <w:color w:val="000000" w:themeColor="text1"/>
        </w:rPr>
        <w:t>mass conservation</w:t>
      </w:r>
      <w:r>
        <w:rPr>
          <w:color w:val="000000" w:themeColor="text1"/>
        </w:rPr>
        <w:t>)</w:t>
      </w:r>
      <w:r w:rsidRPr="00577794">
        <w:rPr>
          <w:color w:val="000000" w:themeColor="text1"/>
        </w:rPr>
        <w:t xml:space="preserve"> equations</w:t>
      </w:r>
      <w:r>
        <w:rPr>
          <w:color w:val="000000" w:themeColor="text1"/>
        </w:rPr>
        <w:t>. R</w:t>
      </w:r>
      <w:r w:rsidRPr="00577794">
        <w:rPr>
          <w:color w:val="000000" w:themeColor="text1"/>
        </w:rPr>
        <w:t xml:space="preserve">eaction </w:t>
      </w:r>
      <w:r>
        <w:rPr>
          <w:color w:val="000000" w:themeColor="text1"/>
        </w:rPr>
        <w:t>formulations can include both</w:t>
      </w:r>
      <w:r w:rsidRPr="00577794">
        <w:rPr>
          <w:color w:val="000000" w:themeColor="text1"/>
        </w:rPr>
        <w:t xml:space="preserve"> </w:t>
      </w:r>
      <w:r>
        <w:rPr>
          <w:color w:val="000000" w:themeColor="text1"/>
        </w:rPr>
        <w:t>kinetic</w:t>
      </w:r>
      <w:r w:rsidRPr="00577794">
        <w:rPr>
          <w:color w:val="000000" w:themeColor="text1"/>
        </w:rPr>
        <w:t xml:space="preserve"> rate expression</w:t>
      </w:r>
      <w:r>
        <w:rPr>
          <w:color w:val="000000" w:themeColor="text1"/>
        </w:rPr>
        <w:t>s and</w:t>
      </w:r>
      <w:r w:rsidRPr="00577794">
        <w:rPr>
          <w:color w:val="000000" w:themeColor="text1"/>
        </w:rPr>
        <w:t xml:space="preserve"> flux balance </w:t>
      </w:r>
      <w:r>
        <w:rPr>
          <w:color w:val="000000" w:themeColor="text1"/>
        </w:rPr>
        <w:t>analyses, thereby integrating reactive transport modeling and systems biology.</w:t>
      </w:r>
      <w:r w:rsidRPr="00577794">
        <w:rPr>
          <w:color w:val="000000" w:themeColor="text1"/>
        </w:rPr>
        <w:t xml:space="preserve"> </w:t>
      </w:r>
      <w:proofErr w:type="spellStart"/>
      <w:r w:rsidR="009072FC" w:rsidRPr="009072FC">
        <w:rPr>
          <w:i/>
          <w:iCs/>
          <w:color w:val="000000" w:themeColor="text1"/>
        </w:rPr>
        <w:t>CompLaB</w:t>
      </w:r>
      <w:proofErr w:type="spellEnd"/>
      <w:r w:rsidR="009072FC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also </w:t>
      </w:r>
      <w:r w:rsidR="009072FC">
        <w:rPr>
          <w:color w:val="000000" w:themeColor="text1"/>
        </w:rPr>
        <w:t xml:space="preserve">can integrate </w:t>
      </w:r>
      <w:r>
        <w:rPr>
          <w:color w:val="000000" w:themeColor="text1"/>
        </w:rPr>
        <w:t>surrogate models such as n</w:t>
      </w:r>
      <w:r w:rsidRPr="00577794">
        <w:rPr>
          <w:color w:val="000000" w:themeColor="text1"/>
        </w:rPr>
        <w:t xml:space="preserve">eural network representations </w:t>
      </w:r>
      <w:r>
        <w:rPr>
          <w:color w:val="000000" w:themeColor="text1"/>
        </w:rPr>
        <w:t xml:space="preserve">of </w:t>
      </w:r>
      <w:r w:rsidRPr="003F4984">
        <w:rPr>
          <w:i/>
          <w:iCs/>
          <w:color w:val="000000" w:themeColor="text1"/>
        </w:rPr>
        <w:t>in silico</w:t>
      </w:r>
      <w:r>
        <w:rPr>
          <w:color w:val="000000" w:themeColor="text1"/>
        </w:rPr>
        <w:t xml:space="preserve"> cell models </w:t>
      </w:r>
      <w:r w:rsidR="009072FC">
        <w:rPr>
          <w:color w:val="000000" w:themeColor="text1"/>
        </w:rPr>
        <w:t xml:space="preserve">which brings substantial computational </w:t>
      </w:r>
      <w:r>
        <w:rPr>
          <w:color w:val="000000" w:themeColor="text1"/>
        </w:rPr>
        <w:t xml:space="preserve">speed up, facilitating </w:t>
      </w:r>
      <w:r w:rsidRPr="00577794">
        <w:rPr>
          <w:color w:val="000000" w:themeColor="text1"/>
        </w:rPr>
        <w:t>applications</w:t>
      </w:r>
      <w:r>
        <w:rPr>
          <w:color w:val="000000" w:themeColor="text1"/>
        </w:rPr>
        <w:t xml:space="preserve"> to complex environmental systems. Parallelization enables simulations that</w:t>
      </w:r>
      <w:r w:rsidRPr="00577794">
        <w:rPr>
          <w:color w:val="000000" w:themeColor="text1"/>
        </w:rPr>
        <w:t xml:space="preserve"> resolve heterogeneity at multiple scales</w:t>
      </w:r>
      <w:r>
        <w:rPr>
          <w:color w:val="000000" w:themeColor="text1"/>
        </w:rPr>
        <w:t xml:space="preserve">, and a cellular automata module provides additional </w:t>
      </w:r>
      <w:r w:rsidRPr="00CF6AEC">
        <w:rPr>
          <w:color w:val="000000" w:themeColor="text1"/>
        </w:rPr>
        <w:t xml:space="preserve">capabilities to simulate biofilm dynamics. The code </w:t>
      </w:r>
      <w:r>
        <w:rPr>
          <w:color w:val="000000" w:themeColor="text1"/>
        </w:rPr>
        <w:t xml:space="preserve">thus constitutes a platform </w:t>
      </w:r>
      <w:r w:rsidRPr="00F74CC2">
        <w:rPr>
          <w:rFonts w:eastAsia="맑은 고딕"/>
          <w:color w:val="000000"/>
          <w:lang w:eastAsia="ko-KR"/>
        </w:rPr>
        <w:t xml:space="preserve">suitable for a range of </w:t>
      </w:r>
      <w:r>
        <w:rPr>
          <w:rFonts w:eastAsia="맑은 고딕"/>
          <w:color w:val="000000"/>
          <w:lang w:eastAsia="ko-KR"/>
        </w:rPr>
        <w:t xml:space="preserve">environmental, engineering and – potentially - medical </w:t>
      </w:r>
      <w:r w:rsidRPr="00F74CC2">
        <w:rPr>
          <w:rFonts w:eastAsia="맑은 고딕"/>
          <w:color w:val="000000"/>
          <w:lang w:eastAsia="ko-KR"/>
        </w:rPr>
        <w:t xml:space="preserve">applications, </w:t>
      </w:r>
      <w:r>
        <w:rPr>
          <w:rFonts w:eastAsia="맑은 고딕"/>
          <w:color w:val="000000"/>
          <w:lang w:eastAsia="ko-KR"/>
        </w:rPr>
        <w:t>in particular ones that involve</w:t>
      </w:r>
      <w:r w:rsidRPr="00F74CC2">
        <w:rPr>
          <w:rFonts w:eastAsia="맑은 고딕"/>
          <w:color w:val="000000"/>
          <w:lang w:eastAsia="ko-KR"/>
        </w:rPr>
        <w:t xml:space="preserve"> the simulation of </w:t>
      </w:r>
      <w:r>
        <w:rPr>
          <w:rFonts w:eastAsia="맑은 고딕"/>
          <w:color w:val="000000"/>
          <w:lang w:eastAsia="ko-KR"/>
        </w:rPr>
        <w:t>microbial dynamics</w:t>
      </w:r>
      <w:r w:rsidRPr="00F74CC2">
        <w:rPr>
          <w:rFonts w:eastAsia="맑은 고딕"/>
          <w:color w:val="000000"/>
          <w:lang w:eastAsia="ko-KR"/>
        </w:rPr>
        <w:t>.</w:t>
      </w:r>
    </w:p>
    <w:p w14:paraId="4F1CB543" w14:textId="77777777" w:rsidR="00440393" w:rsidRDefault="00440393"/>
    <w:sectPr w:rsidR="004403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381AB" w14:textId="77777777" w:rsidR="00871046" w:rsidRDefault="00871046" w:rsidP="00191790">
      <w:r>
        <w:separator/>
      </w:r>
    </w:p>
  </w:endnote>
  <w:endnote w:type="continuationSeparator" w:id="0">
    <w:p w14:paraId="1F40BD86" w14:textId="77777777" w:rsidR="00871046" w:rsidRDefault="00871046" w:rsidP="0019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EDC11" w14:textId="77777777" w:rsidR="00871046" w:rsidRDefault="00871046" w:rsidP="00191790">
      <w:r>
        <w:separator/>
      </w:r>
    </w:p>
  </w:footnote>
  <w:footnote w:type="continuationSeparator" w:id="0">
    <w:p w14:paraId="23794B0B" w14:textId="77777777" w:rsidR="00871046" w:rsidRDefault="00871046" w:rsidP="00191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9A6"/>
    <w:rsid w:val="00191790"/>
    <w:rsid w:val="001C3DF0"/>
    <w:rsid w:val="00440393"/>
    <w:rsid w:val="006622E8"/>
    <w:rsid w:val="00871046"/>
    <w:rsid w:val="009072FC"/>
    <w:rsid w:val="009D59A6"/>
    <w:rsid w:val="00BA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B0112"/>
  <w15:chartTrackingRefBased/>
  <w15:docId w15:val="{3C43BB8D-CBA1-C342-98C6-BD489C2F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9A6"/>
    <w:rPr>
      <w:rFonts w:ascii="Times New Roman" w:eastAsia="Times New Roman" w:hAnsi="Times New Roman" w:cs="Times New Roman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2FC"/>
    <w:pPr>
      <w:spacing w:before="100" w:beforeAutospacing="1" w:after="100" w:afterAutospacing="1"/>
    </w:pPr>
    <w:rPr>
      <w:lang w:eastAsia="ko-KR"/>
    </w:rPr>
  </w:style>
  <w:style w:type="character" w:styleId="a4">
    <w:name w:val="Hyperlink"/>
    <w:basedOn w:val="a0"/>
    <w:uiPriority w:val="99"/>
    <w:unhideWhenUsed/>
    <w:rsid w:val="009072F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072FC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1917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191790"/>
    <w:rPr>
      <w:rFonts w:ascii="Times New Roman" w:eastAsia="Times New Roman" w:hAnsi="Times New Roman" w:cs="Times New Roman"/>
      <w:lang w:val="en-US" w:eastAsia="zh-CN"/>
    </w:rPr>
  </w:style>
  <w:style w:type="paragraph" w:styleId="a7">
    <w:name w:val="footer"/>
    <w:basedOn w:val="a"/>
    <w:link w:val="Char0"/>
    <w:uiPriority w:val="99"/>
    <w:unhideWhenUsed/>
    <w:rsid w:val="001917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191790"/>
    <w:rPr>
      <w:rFonts w:ascii="Times New Roman" w:eastAsia="Times New Roman" w:hAnsi="Times New Roman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7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*hjung@cnu.ac.k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229</Words>
  <Characters>1472</Characters>
  <Application>Microsoft Office Word</Application>
  <DocSecurity>0</DocSecurity>
  <Lines>184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Heewon Jung</dc:creator>
  <cp:keywords/>
  <dc:description/>
  <cp:lastModifiedBy>고수본</cp:lastModifiedBy>
  <cp:revision>2</cp:revision>
  <dcterms:created xsi:type="dcterms:W3CDTF">2022-09-27T11:32:00Z</dcterms:created>
  <dcterms:modified xsi:type="dcterms:W3CDTF">2022-10-04T02:46:00Z</dcterms:modified>
</cp:coreProperties>
</file>