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15E56" w14:textId="61DFECF6" w:rsidR="00162908" w:rsidRDefault="00162908" w:rsidP="00162908">
      <w:pPr>
        <w:pStyle w:val="a3"/>
        <w:rPr>
          <w:rFonts w:ascii="Arial" w:hAnsi="Arial" w:cs="Arial"/>
          <w:b/>
          <w:bCs/>
          <w:sz w:val="32"/>
          <w:szCs w:val="32"/>
          <w:lang w:val="en-US"/>
        </w:rPr>
      </w:pPr>
      <w:r w:rsidRPr="00162908">
        <w:rPr>
          <w:rFonts w:ascii="Arial" w:hAnsi="Arial" w:cs="Arial"/>
          <w:b/>
          <w:bCs/>
          <w:sz w:val="32"/>
          <w:szCs w:val="32"/>
          <w:lang w:val="en-US"/>
        </w:rPr>
        <w:t>Reaction between the feldspars and water in the Earth’s transition zone</w:t>
      </w:r>
    </w:p>
    <w:p w14:paraId="6692954C" w14:textId="77777777" w:rsidR="00013DDF" w:rsidRPr="00013DDF" w:rsidRDefault="00013DDF" w:rsidP="00162908">
      <w:pPr>
        <w:pStyle w:val="a3"/>
        <w:rPr>
          <w:rFonts w:ascii="Arial" w:hAnsi="Arial" w:cs="Arial"/>
          <w:b/>
          <w:bCs/>
          <w:sz w:val="32"/>
          <w:szCs w:val="32"/>
          <w:lang w:val="en-US"/>
        </w:rPr>
      </w:pPr>
    </w:p>
    <w:p w14:paraId="3682EBE5" w14:textId="33231189" w:rsidR="00162908" w:rsidRPr="00013DDF" w:rsidRDefault="00162908" w:rsidP="00013DDF">
      <w:pPr>
        <w:jc w:val="center"/>
        <w:rPr>
          <w:rFonts w:ascii="Arial" w:hAnsi="Arial" w:cs="Arial"/>
          <w:sz w:val="20"/>
          <w:szCs w:val="20"/>
          <w:lang w:val="en-US" w:eastAsia="ko-KR"/>
        </w:rPr>
      </w:pPr>
      <w:proofErr w:type="spellStart"/>
      <w:r w:rsidRPr="00013DDF">
        <w:rPr>
          <w:rFonts w:ascii="Arial" w:hAnsi="Arial" w:cs="Arial" w:hint="eastAsia"/>
          <w:sz w:val="20"/>
          <w:szCs w:val="20"/>
          <w:lang w:val="en-US" w:eastAsia="ko-KR"/>
        </w:rPr>
        <w:t>Y</w:t>
      </w:r>
      <w:r w:rsidRPr="00013DDF">
        <w:rPr>
          <w:rFonts w:ascii="Arial" w:hAnsi="Arial" w:cs="Arial"/>
          <w:sz w:val="20"/>
          <w:szCs w:val="20"/>
          <w:lang w:val="en-US" w:eastAsia="ko-KR"/>
        </w:rPr>
        <w:t>eonhak</w:t>
      </w:r>
      <w:proofErr w:type="spellEnd"/>
      <w:r w:rsidRPr="00013DDF">
        <w:rPr>
          <w:rFonts w:ascii="Arial" w:hAnsi="Arial" w:cs="Arial"/>
          <w:sz w:val="20"/>
          <w:szCs w:val="20"/>
          <w:lang w:val="en-US" w:eastAsia="ko-KR"/>
        </w:rPr>
        <w:t xml:space="preserve"> Jung</w:t>
      </w:r>
    </w:p>
    <w:p w14:paraId="21EE7801" w14:textId="6803F633" w:rsidR="00162908" w:rsidRPr="00013DDF" w:rsidRDefault="00B52E4A" w:rsidP="00013DDF">
      <w:pPr>
        <w:jc w:val="center"/>
        <w:rPr>
          <w:rFonts w:ascii="Arial" w:hAnsi="Arial" w:cs="Arial"/>
          <w:sz w:val="20"/>
          <w:szCs w:val="20"/>
          <w:lang w:val="en-US" w:eastAsia="ko-KR"/>
        </w:rPr>
      </w:pPr>
      <w:r w:rsidRPr="00013DDF">
        <w:rPr>
          <w:rFonts w:ascii="Arial" w:hAnsi="Arial" w:cs="Arial"/>
          <w:sz w:val="20"/>
          <w:szCs w:val="20"/>
          <w:lang w:val="en-US"/>
        </w:rPr>
        <w:t xml:space="preserve">Crystallography </w:t>
      </w:r>
      <w:r w:rsidRPr="00013DDF">
        <w:rPr>
          <w:rFonts w:ascii="Arial" w:hAnsi="Arial" w:cs="Arial" w:hint="eastAsia"/>
          <w:sz w:val="20"/>
          <w:szCs w:val="20"/>
          <w:lang w:val="en-US" w:eastAsia="ko-KR"/>
        </w:rPr>
        <w:t>L</w:t>
      </w:r>
      <w:r w:rsidRPr="00013DDF">
        <w:rPr>
          <w:rFonts w:ascii="Arial" w:hAnsi="Arial" w:cs="Arial"/>
          <w:sz w:val="20"/>
          <w:szCs w:val="20"/>
          <w:lang w:val="en-US" w:eastAsia="ko-KR"/>
        </w:rPr>
        <w:t>ab</w:t>
      </w:r>
    </w:p>
    <w:p w14:paraId="7B08E55B" w14:textId="20766F16" w:rsidR="00013DDF" w:rsidRDefault="00013DDF" w:rsidP="00013DDF">
      <w:pPr>
        <w:jc w:val="center"/>
        <w:rPr>
          <w:rFonts w:ascii="Arial" w:hAnsi="Arial" w:cs="Arial"/>
          <w:sz w:val="20"/>
          <w:szCs w:val="20"/>
          <w:lang w:val="en-US" w:eastAsia="ko-KR"/>
        </w:rPr>
      </w:pPr>
      <w:r w:rsidRPr="00013DDF">
        <w:rPr>
          <w:rFonts w:ascii="Arial" w:hAnsi="Arial" w:cs="Arial" w:hint="eastAsia"/>
          <w:sz w:val="20"/>
          <w:szCs w:val="20"/>
          <w:lang w:val="en-US" w:eastAsia="ko-KR"/>
        </w:rPr>
        <w:t>D</w:t>
      </w:r>
      <w:r w:rsidRPr="00013DDF">
        <w:rPr>
          <w:rFonts w:ascii="Arial" w:hAnsi="Arial" w:cs="Arial"/>
          <w:sz w:val="20"/>
          <w:szCs w:val="20"/>
          <w:lang w:val="en-US" w:eastAsia="ko-KR"/>
        </w:rPr>
        <w:t>epartment of Earth System Sciences, Yonsei University, Seoul, Republic of Korea</w:t>
      </w:r>
    </w:p>
    <w:p w14:paraId="7A9056BC" w14:textId="77777777" w:rsidR="00013DDF" w:rsidRPr="00013DDF" w:rsidRDefault="00013DDF" w:rsidP="00B52E4A">
      <w:pPr>
        <w:ind w:firstLine="800"/>
        <w:jc w:val="center"/>
        <w:rPr>
          <w:rFonts w:ascii="Arial" w:hAnsi="Arial" w:cs="Arial" w:hint="eastAsia"/>
          <w:sz w:val="20"/>
          <w:szCs w:val="20"/>
          <w:lang w:val="en-US" w:eastAsia="ko-KR"/>
        </w:rPr>
      </w:pPr>
    </w:p>
    <w:p w14:paraId="5FA8D606" w14:textId="503C5EF3" w:rsidR="00162908" w:rsidRPr="00162908" w:rsidRDefault="00162908" w:rsidP="00162908">
      <w:pPr>
        <w:ind w:firstLine="800"/>
        <w:rPr>
          <w:rFonts w:ascii="Arial" w:hAnsi="Arial" w:cs="Arial"/>
          <w:sz w:val="20"/>
          <w:szCs w:val="20"/>
          <w:lang w:val="en-US"/>
        </w:rPr>
      </w:pPr>
      <w:r w:rsidRPr="00162908">
        <w:rPr>
          <w:rFonts w:ascii="Arial" w:hAnsi="Arial" w:cs="Arial"/>
          <w:sz w:val="20"/>
          <w:szCs w:val="20"/>
          <w:lang w:val="en-US"/>
        </w:rPr>
        <w:t xml:space="preserve">Water transport and cycle to the deep Earth are important in the dynamics and evolution of the Earth as water affects the phase transition kinetics as well as the viscosity of the mantle by the process called hydrolytic weakening. Delivery of water to the deep Earth has operated since the initiation of modern-style subduction processes. Phase transitions of subducting minerals to dense hydrous silicate minerals during subduction is one of the key processes to transport water into the deep interior. </w:t>
      </w:r>
      <w:r w:rsidRPr="00162908">
        <w:rPr>
          <w:rFonts w:ascii="Arial" w:hAnsi="Arial" w:cs="Arial"/>
          <w:sz w:val="20"/>
          <w:szCs w:val="20"/>
          <w:lang w:val="en-US" w:eastAsia="ko-KR"/>
        </w:rPr>
        <w:t>And</w:t>
      </w:r>
      <w:r w:rsidRPr="00162908">
        <w:rPr>
          <w:rFonts w:ascii="Arial" w:hAnsi="Arial" w:cs="Arial"/>
          <w:sz w:val="20"/>
          <w:szCs w:val="20"/>
          <w:lang w:val="en-US"/>
        </w:rPr>
        <w:t xml:space="preserve"> </w:t>
      </w:r>
      <w:r w:rsidRPr="00162908">
        <w:rPr>
          <w:rFonts w:ascii="Arial" w:hAnsi="Arial" w:cs="Arial"/>
          <w:sz w:val="20"/>
          <w:szCs w:val="20"/>
          <w:lang w:val="en-US" w:eastAsia="ko-KR"/>
        </w:rPr>
        <w:t>o</w:t>
      </w:r>
      <w:r w:rsidRPr="00162908">
        <w:rPr>
          <w:rFonts w:ascii="Arial" w:hAnsi="Arial" w:cs="Arial"/>
          <w:sz w:val="20"/>
          <w:szCs w:val="20"/>
          <w:lang w:val="en-US"/>
        </w:rPr>
        <w:t xml:space="preserve">ne of the under-explored host candidate minerals for water in the </w:t>
      </w:r>
      <w:r w:rsidRPr="00162908">
        <w:rPr>
          <w:rFonts w:ascii="Arial" w:hAnsi="Arial" w:cs="Arial"/>
          <w:sz w:val="20"/>
          <w:szCs w:val="20"/>
          <w:lang w:val="en-US" w:eastAsia="ko-KR"/>
        </w:rPr>
        <w:t>Earth’s</w:t>
      </w:r>
      <w:r w:rsidRPr="00162908">
        <w:rPr>
          <w:rFonts w:ascii="Arial" w:hAnsi="Arial" w:cs="Arial"/>
          <w:sz w:val="20"/>
          <w:szCs w:val="20"/>
          <w:lang w:val="en-US"/>
        </w:rPr>
        <w:t xml:space="preserve"> </w:t>
      </w:r>
      <w:r w:rsidRPr="00162908">
        <w:rPr>
          <w:rFonts w:ascii="Arial" w:hAnsi="Arial" w:cs="Arial"/>
          <w:sz w:val="20"/>
          <w:szCs w:val="20"/>
          <w:lang w:val="en-US" w:eastAsia="ko-KR"/>
        </w:rPr>
        <w:t>deep</w:t>
      </w:r>
      <w:r w:rsidRPr="00162908">
        <w:rPr>
          <w:rFonts w:ascii="Arial" w:hAnsi="Arial" w:cs="Arial"/>
          <w:sz w:val="20"/>
          <w:szCs w:val="20"/>
          <w:lang w:val="en-US"/>
        </w:rPr>
        <w:t xml:space="preserve"> </w:t>
      </w:r>
      <w:r w:rsidRPr="00162908">
        <w:rPr>
          <w:rFonts w:ascii="Arial" w:hAnsi="Arial" w:cs="Arial"/>
          <w:sz w:val="20"/>
          <w:szCs w:val="20"/>
          <w:lang w:val="en-US" w:eastAsia="ko-KR"/>
        </w:rPr>
        <w:t>interior</w:t>
      </w:r>
      <w:r w:rsidRPr="00162908">
        <w:rPr>
          <w:rFonts w:ascii="Arial" w:hAnsi="Arial" w:cs="Arial"/>
          <w:sz w:val="20"/>
          <w:szCs w:val="20"/>
          <w:lang w:val="en-US"/>
        </w:rPr>
        <w:t xml:space="preserve"> is hollandite-type minerals which are the transformation products from subducting feldspars and known to be stable down to the core-mantle boundary conditions. </w:t>
      </w:r>
      <w:r w:rsidRPr="00162908">
        <w:rPr>
          <w:rFonts w:ascii="Arial" w:hAnsi="Arial" w:cs="Arial"/>
          <w:sz w:val="20"/>
          <w:szCs w:val="20"/>
          <w:lang w:val="en-US" w:eastAsia="ko-KR"/>
        </w:rPr>
        <w:t>Therefore,</w:t>
      </w:r>
      <w:r w:rsidRPr="00162908">
        <w:rPr>
          <w:rFonts w:ascii="Arial" w:hAnsi="Arial" w:cs="Arial"/>
          <w:sz w:val="20"/>
          <w:szCs w:val="20"/>
          <w:lang w:val="en-US"/>
        </w:rPr>
        <w:t xml:space="preserve"> </w:t>
      </w:r>
      <w:r w:rsidRPr="00162908">
        <w:rPr>
          <w:rFonts w:ascii="Arial" w:hAnsi="Arial" w:cs="Arial"/>
          <w:sz w:val="20"/>
          <w:szCs w:val="20"/>
          <w:lang w:val="en-US" w:eastAsia="ko-KR"/>
        </w:rPr>
        <w:t xml:space="preserve">studies on the </w:t>
      </w:r>
      <w:proofErr w:type="spellStart"/>
      <w:r w:rsidRPr="00162908">
        <w:rPr>
          <w:rFonts w:ascii="Arial" w:hAnsi="Arial" w:cs="Arial"/>
          <w:sz w:val="20"/>
          <w:szCs w:val="20"/>
          <w:lang w:val="en-US" w:eastAsia="ko-KR"/>
        </w:rPr>
        <w:t>physico</w:t>
      </w:r>
      <w:proofErr w:type="spellEnd"/>
      <w:r w:rsidRPr="00162908">
        <w:rPr>
          <w:rFonts w:ascii="Arial" w:hAnsi="Arial" w:cs="Arial"/>
          <w:sz w:val="20"/>
          <w:szCs w:val="20"/>
          <w:lang w:val="en-US" w:eastAsia="ko-KR"/>
        </w:rPr>
        <w:t>-chemical properties of feldspars</w:t>
      </w:r>
      <w:r w:rsidRPr="00162908">
        <w:rPr>
          <w:rFonts w:ascii="Arial" w:hAnsi="Arial" w:cs="Arial"/>
          <w:sz w:val="20"/>
          <w:szCs w:val="20"/>
          <w:lang w:val="en-US"/>
        </w:rPr>
        <w:t xml:space="preserve"> will extend </w:t>
      </w:r>
      <w:r w:rsidRPr="00162908">
        <w:rPr>
          <w:rFonts w:ascii="Arial" w:hAnsi="Arial" w:cs="Arial"/>
          <w:sz w:val="20"/>
          <w:szCs w:val="20"/>
          <w:lang w:val="en-US" w:eastAsia="ko-KR"/>
        </w:rPr>
        <w:t>the</w:t>
      </w:r>
      <w:r w:rsidRPr="00162908">
        <w:rPr>
          <w:rFonts w:ascii="Arial" w:hAnsi="Arial" w:cs="Arial"/>
          <w:sz w:val="20"/>
          <w:szCs w:val="20"/>
          <w:lang w:val="en-US"/>
        </w:rPr>
        <w:t xml:space="preserve"> understandings of the Earth’s volatile cycles and </w:t>
      </w:r>
      <w:r w:rsidRPr="00162908">
        <w:rPr>
          <w:rFonts w:ascii="Arial" w:hAnsi="Arial" w:cs="Arial"/>
          <w:sz w:val="20"/>
          <w:szCs w:val="20"/>
          <w:lang w:val="en-US" w:eastAsia="ko-KR"/>
        </w:rPr>
        <w:t>dynamic</w:t>
      </w:r>
      <w:r w:rsidRPr="00162908">
        <w:rPr>
          <w:rFonts w:ascii="Arial" w:hAnsi="Arial" w:cs="Arial"/>
          <w:sz w:val="20"/>
          <w:szCs w:val="20"/>
          <w:lang w:val="en-US"/>
        </w:rPr>
        <w:t xml:space="preserve"> </w:t>
      </w:r>
      <w:r w:rsidRPr="00162908">
        <w:rPr>
          <w:rFonts w:ascii="Arial" w:hAnsi="Arial" w:cs="Arial"/>
          <w:sz w:val="20"/>
          <w:szCs w:val="20"/>
          <w:lang w:val="en-US" w:eastAsia="ko-KR"/>
        </w:rPr>
        <w:t>processes.</w:t>
      </w:r>
    </w:p>
    <w:p w14:paraId="69578115" w14:textId="3FC9DCFD" w:rsidR="00162908" w:rsidRDefault="00162908" w:rsidP="00162908">
      <w:pPr>
        <w:spacing w:after="0" w:line="240" w:lineRule="auto"/>
        <w:ind w:firstLine="800"/>
        <w:rPr>
          <w:rFonts w:ascii="Arial" w:hAnsi="Arial" w:cs="Arial"/>
          <w:b/>
          <w:iCs/>
          <w:sz w:val="20"/>
          <w:szCs w:val="20"/>
          <w:lang w:val="en-US" w:eastAsia="ko-KR"/>
        </w:rPr>
      </w:pPr>
      <w:r w:rsidRPr="00162908">
        <w:rPr>
          <w:rFonts w:ascii="Arial" w:hAnsi="Arial" w:cs="Arial"/>
          <w:bCs/>
          <w:iCs/>
          <w:sz w:val="20"/>
          <w:szCs w:val="20"/>
          <w:lang w:val="en-US"/>
        </w:rPr>
        <w:t xml:space="preserve">Feldspars, a family of framework silicate minerals containing Na, K, and Ca, are one of the major constituents in </w:t>
      </w:r>
      <w:r w:rsidRPr="00162908">
        <w:rPr>
          <w:rFonts w:ascii="Arial" w:hAnsi="Arial" w:cs="Arial"/>
          <w:bCs/>
          <w:iCs/>
          <w:sz w:val="20"/>
          <w:szCs w:val="20"/>
          <w:lang w:val="en-US" w:eastAsia="ko-KR"/>
        </w:rPr>
        <w:t>the</w:t>
      </w:r>
      <w:r w:rsidRPr="00162908">
        <w:rPr>
          <w:rFonts w:ascii="Arial" w:hAnsi="Arial" w:cs="Arial"/>
          <w:bCs/>
          <w:iCs/>
          <w:sz w:val="20"/>
          <w:szCs w:val="20"/>
          <w:lang w:val="en-US"/>
        </w:rPr>
        <w:t xml:space="preserve"> crust. When feldspars in the </w:t>
      </w:r>
      <w:r w:rsidRPr="00162908">
        <w:rPr>
          <w:rFonts w:ascii="Arial" w:hAnsi="Arial" w:cs="Arial"/>
          <w:bCs/>
          <w:iCs/>
          <w:sz w:val="20"/>
          <w:szCs w:val="20"/>
          <w:lang w:val="en-US" w:eastAsia="ko-KR"/>
        </w:rPr>
        <w:t>oceanic</w:t>
      </w:r>
      <w:r w:rsidRPr="00162908">
        <w:rPr>
          <w:rFonts w:ascii="Arial" w:hAnsi="Arial" w:cs="Arial"/>
          <w:bCs/>
          <w:iCs/>
          <w:sz w:val="20"/>
          <w:szCs w:val="20"/>
          <w:lang w:val="en-US"/>
        </w:rPr>
        <w:t xml:space="preserve"> crust subduct along dry geothermal gradients, they have been known to breakdown into an assemblage containing a hollandite structure in the conditions of the mantle transition zone. In recent years, the presence of water in the mantle transition zone has been suggested by seismic studies and high-pressure experiments. The hollandite structure, </w:t>
      </w:r>
      <w:r w:rsidRPr="00162908">
        <w:rPr>
          <w:rFonts w:ascii="Arial" w:hAnsi="Arial" w:cs="Arial"/>
          <w:bCs/>
          <w:iCs/>
          <w:sz w:val="20"/>
          <w:szCs w:val="20"/>
          <w:lang w:val="en-US" w:eastAsia="ko-KR"/>
        </w:rPr>
        <w:t>possibly</w:t>
      </w:r>
      <w:r w:rsidRPr="00162908">
        <w:rPr>
          <w:rFonts w:ascii="Arial" w:hAnsi="Arial" w:cs="Arial"/>
          <w:bCs/>
          <w:iCs/>
          <w:sz w:val="20"/>
          <w:szCs w:val="20"/>
          <w:lang w:val="en-US"/>
        </w:rPr>
        <w:t xml:space="preserve"> </w:t>
      </w:r>
      <w:r w:rsidRPr="00162908">
        <w:rPr>
          <w:rFonts w:ascii="Arial" w:hAnsi="Arial" w:cs="Arial"/>
          <w:bCs/>
          <w:iCs/>
          <w:sz w:val="20"/>
          <w:szCs w:val="20"/>
          <w:lang w:val="en-US" w:eastAsia="ko-KR"/>
        </w:rPr>
        <w:t>formed</w:t>
      </w:r>
      <w:r w:rsidRPr="00162908">
        <w:rPr>
          <w:rFonts w:ascii="Arial" w:hAnsi="Arial" w:cs="Arial"/>
          <w:bCs/>
          <w:iCs/>
          <w:sz w:val="20"/>
          <w:szCs w:val="20"/>
          <w:lang w:val="en-US"/>
        </w:rPr>
        <w:t xml:space="preserve"> under conditions </w:t>
      </w:r>
      <w:r w:rsidRPr="00162908">
        <w:rPr>
          <w:rFonts w:ascii="Arial" w:hAnsi="Arial" w:cs="Arial"/>
          <w:bCs/>
          <w:iCs/>
          <w:sz w:val="20"/>
          <w:szCs w:val="20"/>
          <w:lang w:val="en-US" w:eastAsia="ko-KR"/>
        </w:rPr>
        <w:t>of</w:t>
      </w:r>
      <w:r w:rsidRPr="00162908">
        <w:rPr>
          <w:rFonts w:ascii="Arial" w:hAnsi="Arial" w:cs="Arial"/>
          <w:bCs/>
          <w:iCs/>
          <w:sz w:val="20"/>
          <w:szCs w:val="20"/>
          <w:lang w:val="en-US"/>
        </w:rPr>
        <w:t xml:space="preserve"> the transition zone, </w:t>
      </w:r>
      <w:r w:rsidRPr="00162908">
        <w:rPr>
          <w:rFonts w:ascii="Arial" w:hAnsi="Arial" w:cs="Arial"/>
          <w:bCs/>
          <w:iCs/>
          <w:sz w:val="20"/>
          <w:szCs w:val="20"/>
          <w:lang w:val="en-US" w:eastAsia="ko-KR"/>
        </w:rPr>
        <w:t>is</w:t>
      </w:r>
      <w:r w:rsidRPr="00162908">
        <w:rPr>
          <w:rFonts w:ascii="Arial" w:hAnsi="Arial" w:cs="Arial"/>
          <w:bCs/>
          <w:iCs/>
          <w:sz w:val="20"/>
          <w:szCs w:val="20"/>
          <w:lang w:val="en-US"/>
        </w:rPr>
        <w:t xml:space="preserve"> </w:t>
      </w:r>
      <w:r w:rsidRPr="00162908">
        <w:rPr>
          <w:rFonts w:ascii="Arial" w:hAnsi="Arial" w:cs="Arial"/>
          <w:bCs/>
          <w:iCs/>
          <w:sz w:val="20"/>
          <w:szCs w:val="20"/>
          <w:lang w:val="en-US" w:eastAsia="ko-KR"/>
        </w:rPr>
        <w:t>characterized</w:t>
      </w:r>
      <w:r w:rsidRPr="00162908">
        <w:rPr>
          <w:rFonts w:ascii="Arial" w:hAnsi="Arial" w:cs="Arial"/>
          <w:bCs/>
          <w:iCs/>
          <w:sz w:val="20"/>
          <w:szCs w:val="20"/>
          <w:lang w:val="en-US"/>
        </w:rPr>
        <w:t xml:space="preserve"> </w:t>
      </w:r>
      <w:r w:rsidRPr="00162908">
        <w:rPr>
          <w:rFonts w:ascii="Arial" w:hAnsi="Arial" w:cs="Arial"/>
          <w:bCs/>
          <w:iCs/>
          <w:sz w:val="20"/>
          <w:szCs w:val="20"/>
          <w:lang w:val="en-US" w:eastAsia="ko-KR"/>
        </w:rPr>
        <w:t xml:space="preserve">by its </w:t>
      </w:r>
      <w:r w:rsidRPr="00162908">
        <w:rPr>
          <w:rFonts w:ascii="Arial" w:hAnsi="Arial" w:cs="Arial"/>
          <w:bCs/>
          <w:iCs/>
          <w:sz w:val="20"/>
          <w:szCs w:val="20"/>
          <w:lang w:val="en-US"/>
        </w:rPr>
        <w:t xml:space="preserve">high affinity for large cations with low valence due to its unique 2 x 2 octahedral tunnel structure where it can store and transport water and large cations such as </w:t>
      </w:r>
      <w:r w:rsidRPr="00162908">
        <w:rPr>
          <w:rFonts w:ascii="Arial" w:hAnsi="Arial" w:cs="Arial"/>
          <w:bCs/>
          <w:iCs/>
          <w:sz w:val="20"/>
          <w:szCs w:val="20"/>
          <w:vertAlign w:val="superscript"/>
          <w:lang w:val="en-US"/>
        </w:rPr>
        <w:t>40</w:t>
      </w:r>
      <w:r w:rsidRPr="00162908">
        <w:rPr>
          <w:rFonts w:ascii="Arial" w:hAnsi="Arial" w:cs="Arial"/>
          <w:bCs/>
          <w:iCs/>
          <w:sz w:val="20"/>
          <w:szCs w:val="20"/>
          <w:lang w:val="en-US"/>
        </w:rPr>
        <w:t xml:space="preserve">K radioactive heat source </w:t>
      </w:r>
      <w:r w:rsidRPr="00162908">
        <w:rPr>
          <w:rFonts w:ascii="Arial" w:hAnsi="Arial" w:cs="Arial"/>
          <w:bCs/>
          <w:iCs/>
          <w:sz w:val="20"/>
          <w:szCs w:val="20"/>
          <w:lang w:val="en-US" w:eastAsia="ko-KR"/>
        </w:rPr>
        <w:t>w</w:t>
      </w:r>
      <w:r w:rsidRPr="00162908">
        <w:rPr>
          <w:rFonts w:ascii="Arial" w:hAnsi="Arial" w:cs="Arial"/>
          <w:bCs/>
          <w:iCs/>
          <w:sz w:val="20"/>
          <w:szCs w:val="20"/>
          <w:lang w:val="en-US"/>
        </w:rPr>
        <w:t>hich could affect the thermal evolution of the Earth</w:t>
      </w:r>
      <w:r w:rsidRPr="00162908">
        <w:rPr>
          <w:rFonts w:ascii="Arial" w:hAnsi="Arial" w:cs="Arial"/>
          <w:bCs/>
          <w:iCs/>
          <w:sz w:val="20"/>
          <w:szCs w:val="20"/>
          <w:lang w:val="en-US" w:eastAsia="ko-KR"/>
        </w:rPr>
        <w:t xml:space="preserve">. </w:t>
      </w:r>
    </w:p>
    <w:p w14:paraId="6237B10B" w14:textId="77777777" w:rsidR="00162908" w:rsidRDefault="00162908" w:rsidP="00162908">
      <w:pPr>
        <w:spacing w:after="0" w:line="240" w:lineRule="auto"/>
        <w:rPr>
          <w:rFonts w:ascii="Arial" w:hAnsi="Arial" w:cs="Arial"/>
          <w:b/>
          <w:iCs/>
          <w:sz w:val="20"/>
          <w:szCs w:val="20"/>
          <w:lang w:val="en-US" w:eastAsia="ko-KR"/>
        </w:rPr>
      </w:pPr>
    </w:p>
    <w:p w14:paraId="2A40D1EC" w14:textId="77777777" w:rsidR="00162908" w:rsidRDefault="00162908" w:rsidP="00162908">
      <w:pPr>
        <w:spacing w:after="0" w:line="240" w:lineRule="auto"/>
        <w:ind w:firstLine="800"/>
        <w:rPr>
          <w:rFonts w:ascii="Arial" w:hAnsi="Arial" w:cs="Arial"/>
          <w:bCs/>
          <w:sz w:val="20"/>
          <w:szCs w:val="20"/>
        </w:rPr>
      </w:pPr>
      <w:r w:rsidRPr="00162908">
        <w:rPr>
          <w:rFonts w:ascii="Arial" w:hAnsi="Arial" w:cs="Arial"/>
          <w:sz w:val="20"/>
          <w:szCs w:val="20"/>
        </w:rPr>
        <w:t xml:space="preserve">In recent years, we have reported the formation of </w:t>
      </w:r>
      <w:r w:rsidRPr="00162908">
        <w:rPr>
          <w:rFonts w:ascii="Arial" w:hAnsi="Arial" w:cs="Arial"/>
          <w:bCs/>
          <w:sz w:val="20"/>
          <w:szCs w:val="20"/>
        </w:rPr>
        <w:t xml:space="preserve">smectite and moganite assemblage as </w:t>
      </w:r>
      <w:r w:rsidRPr="00162908">
        <w:rPr>
          <w:rFonts w:ascii="Arial" w:hAnsi="Arial" w:cs="Arial"/>
          <w:bCs/>
          <w:i/>
          <w:iCs/>
          <w:sz w:val="20"/>
          <w:szCs w:val="20"/>
        </w:rPr>
        <w:t>hydration</w:t>
      </w:r>
      <w:r w:rsidRPr="00162908">
        <w:rPr>
          <w:rFonts w:ascii="Arial" w:hAnsi="Arial" w:cs="Arial"/>
          <w:bCs/>
          <w:sz w:val="20"/>
          <w:szCs w:val="20"/>
        </w:rPr>
        <w:t xml:space="preserve"> breakdown of the albite in the intermediate depth range between 90 and 135 km, under wet and cold subduction conditions</w:t>
      </w:r>
      <w:r>
        <w:rPr>
          <w:rFonts w:ascii="Arial" w:hAnsi="Arial" w:cs="Arial"/>
          <w:bCs/>
          <w:sz w:val="20"/>
          <w:szCs w:val="20"/>
        </w:rPr>
        <w:t xml:space="preserve"> [1]</w:t>
      </w:r>
      <w:r w:rsidRPr="00162908">
        <w:rPr>
          <w:rFonts w:ascii="Arial" w:hAnsi="Arial" w:cs="Arial"/>
          <w:bCs/>
          <w:sz w:val="20"/>
          <w:szCs w:val="20"/>
        </w:rPr>
        <w:t xml:space="preserve">. This calls follow-up investigation at deeper depths to investigate whether hollandite-type feldspars can be formed under the similar, wet conditions, as a possible host for water and alkali cations in the lower mantle. </w:t>
      </w:r>
      <w:r w:rsidRPr="00162908">
        <w:rPr>
          <w:rFonts w:ascii="Arial" w:hAnsi="Arial" w:cs="Arial"/>
          <w:sz w:val="20"/>
          <w:szCs w:val="20"/>
        </w:rPr>
        <w:t xml:space="preserve">In our LH-DAC experiments, we observed the formation of the hollandite-type structure from feldspars and the expansion of its unit cell volume when it forms under wet transition zone conditions compared to a dry analogue. This could be an indication of hydration in the tunnel-structured hollandite. </w:t>
      </w:r>
      <w:r>
        <w:rPr>
          <w:rFonts w:ascii="Arial" w:hAnsi="Arial" w:cs="Arial" w:hint="eastAsia"/>
          <w:sz w:val="20"/>
          <w:szCs w:val="20"/>
          <w:lang w:eastAsia="ko-KR"/>
        </w:rPr>
        <w:t>T</w:t>
      </w:r>
      <w:r>
        <w:rPr>
          <w:rFonts w:ascii="Arial" w:hAnsi="Arial" w:cs="Arial"/>
          <w:sz w:val="20"/>
          <w:szCs w:val="20"/>
          <w:lang w:eastAsia="ko-KR"/>
        </w:rPr>
        <w:t xml:space="preserve">his result could </w:t>
      </w:r>
      <w:r w:rsidRPr="00162908">
        <w:rPr>
          <w:rFonts w:ascii="Arial" w:hAnsi="Arial" w:cs="Arial"/>
          <w:bCs/>
          <w:sz w:val="20"/>
          <w:szCs w:val="20"/>
        </w:rPr>
        <w:t xml:space="preserve">provide important data to understand the </w:t>
      </w:r>
      <w:r>
        <w:rPr>
          <w:rFonts w:ascii="Arial" w:hAnsi="Arial" w:cs="Arial"/>
          <w:bCs/>
          <w:sz w:val="20"/>
          <w:szCs w:val="20"/>
        </w:rPr>
        <w:t xml:space="preserve">cycle and </w:t>
      </w:r>
      <w:r w:rsidRPr="00162908">
        <w:rPr>
          <w:rFonts w:ascii="Arial" w:hAnsi="Arial" w:cs="Arial"/>
          <w:bCs/>
          <w:sz w:val="20"/>
          <w:szCs w:val="20"/>
        </w:rPr>
        <w:t>transportation of water and heat in the deep mantle</w:t>
      </w:r>
      <w:r>
        <w:rPr>
          <w:rFonts w:ascii="Arial" w:hAnsi="Arial" w:cs="Arial"/>
          <w:bCs/>
          <w:sz w:val="20"/>
          <w:szCs w:val="20"/>
        </w:rPr>
        <w:t xml:space="preserve"> and possibly the core mantle boundary</w:t>
      </w:r>
    </w:p>
    <w:p w14:paraId="7A514D25" w14:textId="305C11DF" w:rsidR="00162908" w:rsidRDefault="00162908" w:rsidP="00162908">
      <w:pPr>
        <w:spacing w:after="0" w:line="240" w:lineRule="auto"/>
        <w:rPr>
          <w:rFonts w:ascii="Arial" w:hAnsi="Arial" w:cs="Arial"/>
          <w:bCs/>
          <w:sz w:val="20"/>
          <w:szCs w:val="20"/>
        </w:rPr>
      </w:pPr>
    </w:p>
    <w:p w14:paraId="57266DA7" w14:textId="7849911B" w:rsidR="00162908" w:rsidRDefault="00162908" w:rsidP="00162908">
      <w:pPr>
        <w:spacing w:after="0" w:line="240" w:lineRule="auto"/>
        <w:rPr>
          <w:rFonts w:ascii="Arial" w:hAnsi="Arial" w:cs="Arial"/>
          <w:bCs/>
          <w:sz w:val="20"/>
          <w:szCs w:val="20"/>
        </w:rPr>
      </w:pPr>
    </w:p>
    <w:p w14:paraId="3950B929" w14:textId="68DC3993" w:rsidR="00162908" w:rsidRDefault="00162908" w:rsidP="00162908">
      <w:pPr>
        <w:spacing w:after="0" w:line="240" w:lineRule="auto"/>
        <w:rPr>
          <w:rFonts w:ascii="Arial" w:hAnsi="Arial" w:cs="Arial"/>
          <w:bCs/>
          <w:sz w:val="20"/>
          <w:szCs w:val="20"/>
        </w:rPr>
      </w:pPr>
    </w:p>
    <w:p w14:paraId="6399BAE1" w14:textId="1BA33AF5" w:rsidR="00162908" w:rsidRDefault="00162908" w:rsidP="00162908">
      <w:pPr>
        <w:spacing w:after="0" w:line="240" w:lineRule="auto"/>
        <w:rPr>
          <w:rFonts w:ascii="Arial" w:hAnsi="Arial" w:cs="Arial"/>
          <w:bCs/>
          <w:sz w:val="20"/>
          <w:szCs w:val="20"/>
        </w:rPr>
      </w:pPr>
    </w:p>
    <w:p w14:paraId="60198E16" w14:textId="4F6CCDF7" w:rsidR="00162908" w:rsidRDefault="00162908" w:rsidP="00162908">
      <w:pPr>
        <w:spacing w:after="0" w:line="240" w:lineRule="auto"/>
        <w:rPr>
          <w:rFonts w:ascii="Arial" w:hAnsi="Arial" w:cs="Arial"/>
          <w:bCs/>
          <w:sz w:val="20"/>
          <w:szCs w:val="20"/>
        </w:rPr>
      </w:pPr>
    </w:p>
    <w:p w14:paraId="1C264CC2" w14:textId="045B61A8" w:rsidR="00162908" w:rsidRDefault="00162908" w:rsidP="00162908">
      <w:pPr>
        <w:spacing w:after="0" w:line="240" w:lineRule="auto"/>
        <w:rPr>
          <w:rFonts w:ascii="Arial" w:hAnsi="Arial" w:cs="Arial"/>
          <w:bCs/>
          <w:sz w:val="20"/>
          <w:szCs w:val="20"/>
        </w:rPr>
      </w:pPr>
    </w:p>
    <w:p w14:paraId="40BE1FD4" w14:textId="58D7F1E3" w:rsidR="00162908" w:rsidRDefault="00162908" w:rsidP="00162908">
      <w:pPr>
        <w:spacing w:after="0" w:line="240" w:lineRule="auto"/>
        <w:rPr>
          <w:rFonts w:ascii="Arial" w:hAnsi="Arial" w:cs="Arial"/>
          <w:bCs/>
          <w:sz w:val="20"/>
          <w:szCs w:val="20"/>
        </w:rPr>
      </w:pPr>
    </w:p>
    <w:p w14:paraId="6F67848D" w14:textId="7155156C" w:rsidR="00162908" w:rsidRDefault="00162908" w:rsidP="00162908">
      <w:pPr>
        <w:spacing w:after="0" w:line="240" w:lineRule="auto"/>
        <w:rPr>
          <w:rFonts w:ascii="Arial" w:hAnsi="Arial" w:cs="Arial"/>
          <w:bCs/>
          <w:sz w:val="20"/>
          <w:szCs w:val="20"/>
        </w:rPr>
      </w:pPr>
    </w:p>
    <w:p w14:paraId="6823C858" w14:textId="3FC9B867" w:rsidR="00162908" w:rsidRDefault="00162908" w:rsidP="00162908">
      <w:pPr>
        <w:spacing w:after="0" w:line="240" w:lineRule="auto"/>
        <w:rPr>
          <w:rFonts w:ascii="Arial" w:hAnsi="Arial" w:cs="Arial"/>
          <w:bCs/>
          <w:sz w:val="20"/>
          <w:szCs w:val="20"/>
        </w:rPr>
      </w:pPr>
    </w:p>
    <w:p w14:paraId="24C2A85B" w14:textId="0E5C6FE6" w:rsidR="00162908" w:rsidRDefault="00162908" w:rsidP="00162908">
      <w:pPr>
        <w:spacing w:after="0" w:line="240" w:lineRule="auto"/>
        <w:rPr>
          <w:rFonts w:ascii="Arial" w:hAnsi="Arial" w:cs="Arial"/>
          <w:bCs/>
          <w:sz w:val="20"/>
          <w:szCs w:val="20"/>
        </w:rPr>
      </w:pPr>
    </w:p>
    <w:p w14:paraId="0B3D78F0" w14:textId="77777777" w:rsidR="00013DDF" w:rsidRPr="00162908" w:rsidRDefault="00013DDF" w:rsidP="00162908">
      <w:pPr>
        <w:spacing w:after="0" w:line="240" w:lineRule="auto"/>
        <w:rPr>
          <w:rFonts w:ascii="Arial" w:hAnsi="Arial" w:cs="Arial" w:hint="eastAsia"/>
          <w:b/>
          <w:iCs/>
          <w:sz w:val="20"/>
          <w:szCs w:val="20"/>
          <w:lang w:val="en-US" w:eastAsia="ko-KR"/>
        </w:rPr>
      </w:pPr>
    </w:p>
    <w:p w14:paraId="1B7E75F5" w14:textId="66E66921" w:rsidR="00766A5A" w:rsidRPr="00162908" w:rsidRDefault="00162908" w:rsidP="00162908">
      <w:pPr>
        <w:spacing w:after="0"/>
        <w:rPr>
          <w:rFonts w:ascii="Arial" w:hAnsi="Arial" w:cs="Arial"/>
          <w:bCs/>
          <w:sz w:val="20"/>
          <w:szCs w:val="20"/>
          <w:lang w:eastAsia="ko-KR"/>
        </w:rPr>
      </w:pPr>
      <w:r w:rsidRPr="00753EB2">
        <w:rPr>
          <w:rFonts w:ascii="Arial" w:hAnsi="Arial" w:cs="Arial"/>
          <w:bCs/>
          <w:sz w:val="20"/>
          <w:szCs w:val="20"/>
          <w:lang w:eastAsia="ko-KR"/>
        </w:rPr>
        <w:t>[</w:t>
      </w:r>
      <w:r>
        <w:rPr>
          <w:rFonts w:ascii="Arial" w:hAnsi="Arial" w:cs="Arial"/>
          <w:bCs/>
          <w:sz w:val="20"/>
          <w:szCs w:val="20"/>
          <w:lang w:eastAsia="ko-KR"/>
        </w:rPr>
        <w:t>1</w:t>
      </w:r>
      <w:r w:rsidRPr="00753EB2">
        <w:rPr>
          <w:rFonts w:ascii="Arial" w:hAnsi="Arial" w:cs="Arial"/>
          <w:bCs/>
          <w:sz w:val="20"/>
          <w:szCs w:val="20"/>
          <w:lang w:eastAsia="ko-KR"/>
        </w:rPr>
        <w:t>]</w:t>
      </w:r>
      <w:r w:rsidRPr="00753EB2">
        <w:rPr>
          <w:rFonts w:ascii="Arial" w:hAnsi="Arial" w:cs="Arial"/>
          <w:sz w:val="20"/>
          <w:szCs w:val="20"/>
        </w:rPr>
        <w:t xml:space="preserve"> </w:t>
      </w:r>
      <w:r w:rsidRPr="00753EB2">
        <w:rPr>
          <w:rFonts w:ascii="Arial" w:hAnsi="Arial" w:cs="Arial"/>
          <w:bCs/>
          <w:sz w:val="20"/>
          <w:szCs w:val="20"/>
          <w:lang w:eastAsia="ko-KR"/>
        </w:rPr>
        <w:t xml:space="preserve">G.C. Hwang, H. Hwang, Y. Bang, J. Choi, Y. Park, T. Jeon, B. Chae, H. Jung and Y. Lee, A role for subducted albite in the water cycle and alkalinity of subduction fluids, Nature Communications, 1155 (2021) (DOI: </w:t>
      </w:r>
      <w:hyperlink r:id="rId4" w:history="1">
        <w:r w:rsidRPr="00753EB2">
          <w:rPr>
            <w:rStyle w:val="a4"/>
            <w:rFonts w:ascii="Arial" w:hAnsi="Arial" w:cs="Arial"/>
            <w:bCs/>
            <w:sz w:val="20"/>
            <w:szCs w:val="20"/>
            <w:lang w:eastAsia="ko-KR"/>
          </w:rPr>
          <w:t>10.1038/s41467-021-21419-6</w:t>
        </w:r>
      </w:hyperlink>
      <w:r w:rsidRPr="00753EB2">
        <w:rPr>
          <w:rFonts w:ascii="Arial" w:hAnsi="Arial" w:cs="Arial"/>
          <w:bCs/>
          <w:sz w:val="20"/>
          <w:szCs w:val="20"/>
          <w:lang w:eastAsia="ko-KR"/>
        </w:rPr>
        <w:t>)</w:t>
      </w:r>
    </w:p>
    <w:sectPr w:rsidR="00766A5A" w:rsidRPr="00162908">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908"/>
    <w:rsid w:val="00013DDF"/>
    <w:rsid w:val="00162908"/>
    <w:rsid w:val="00766A5A"/>
    <w:rsid w:val="00B52E4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62827"/>
  <w15:chartTrackingRefBased/>
  <w15:docId w15:val="{7D8E8CE8-4CC4-4180-BC1F-D536AEE81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2908"/>
    <w:pPr>
      <w:spacing w:after="200" w:line="276" w:lineRule="auto"/>
      <w:jc w:val="left"/>
    </w:pPr>
    <w:rPr>
      <w:rFonts w:ascii="Calibri" w:hAnsi="Calibri" w:cs="Times New Roman"/>
      <w:kern w:val="0"/>
      <w:sz w:val="22"/>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62908"/>
    <w:pPr>
      <w:spacing w:after="0" w:line="240" w:lineRule="auto"/>
      <w:jc w:val="left"/>
    </w:pPr>
    <w:rPr>
      <w:rFonts w:ascii="Calibri" w:hAnsi="Calibri" w:cs="Times New Roman"/>
      <w:kern w:val="0"/>
      <w:sz w:val="22"/>
      <w:lang w:val="en-GB" w:eastAsia="en-US"/>
    </w:rPr>
  </w:style>
  <w:style w:type="character" w:styleId="a4">
    <w:name w:val="Hyperlink"/>
    <w:uiPriority w:val="99"/>
    <w:unhideWhenUsed/>
    <w:rsid w:val="001629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ature.com/articles/s41467-021-21419-6"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470</Words>
  <Characters>2681</Characters>
  <Application>Microsoft Office Word</Application>
  <DocSecurity>0</DocSecurity>
  <Lines>22</Lines>
  <Paragraphs>6</Paragraphs>
  <ScaleCrop>false</ScaleCrop>
  <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정 연학</dc:creator>
  <cp:keywords/>
  <dc:description/>
  <cp:lastModifiedBy>정 연학</cp:lastModifiedBy>
  <cp:revision>3</cp:revision>
  <dcterms:created xsi:type="dcterms:W3CDTF">2023-03-27T01:31:00Z</dcterms:created>
  <dcterms:modified xsi:type="dcterms:W3CDTF">2023-03-29T01:42:00Z</dcterms:modified>
</cp:coreProperties>
</file>