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7D09" w14:textId="77777777" w:rsidR="00C21C5D" w:rsidRPr="00C21C5D" w:rsidRDefault="00C21C5D" w:rsidP="00C21C5D">
      <w:pPr>
        <w:jc w:val="center"/>
        <w:rPr>
          <w:rFonts w:ascii="Times New Roman" w:hAnsi="Times New Roman" w:cs="Times New Roman"/>
          <w:b/>
          <w:bCs/>
          <w:sz w:val="32"/>
          <w:szCs w:val="36"/>
        </w:rPr>
      </w:pPr>
      <w:r w:rsidRPr="00C21C5D">
        <w:rPr>
          <w:rFonts w:ascii="Times New Roman" w:hAnsi="Times New Roman" w:cs="Times New Roman"/>
          <w:b/>
          <w:bCs/>
          <w:sz w:val="32"/>
          <w:szCs w:val="36"/>
        </w:rPr>
        <w:t xml:space="preserve">Autogenic fluctuation of Grain-Size Transitions in Response to </w:t>
      </w:r>
    </w:p>
    <w:p w14:paraId="02DF330D" w14:textId="4CCBB9B4" w:rsidR="006B7809" w:rsidRDefault="00C21C5D" w:rsidP="00C21C5D">
      <w:pPr>
        <w:jc w:val="center"/>
        <w:rPr>
          <w:rFonts w:ascii="Times New Roman" w:hAnsi="Times New Roman" w:cs="Times New Roman"/>
          <w:sz w:val="22"/>
          <w:szCs w:val="24"/>
        </w:rPr>
      </w:pPr>
      <w:r w:rsidRPr="00C21C5D">
        <w:rPr>
          <w:rFonts w:ascii="Times New Roman" w:hAnsi="Times New Roman" w:cs="Times New Roman"/>
          <w:b/>
          <w:bCs/>
          <w:sz w:val="32"/>
          <w:szCs w:val="36"/>
        </w:rPr>
        <w:t>Constant Sea-Level Rise: Flume experiment</w:t>
      </w:r>
    </w:p>
    <w:p w14:paraId="50872D1A" w14:textId="63052B68" w:rsidR="00666BFA" w:rsidRDefault="00C21C5D" w:rsidP="006B7809">
      <w:pPr>
        <w:jc w:val="center"/>
        <w:rPr>
          <w:rFonts w:ascii="Times New Roman" w:hAnsi="Times New Roman" w:cs="Times New Roman"/>
          <w:sz w:val="22"/>
          <w:szCs w:val="24"/>
        </w:rPr>
      </w:pPr>
      <w:proofErr w:type="spellStart"/>
      <w:r>
        <w:rPr>
          <w:rFonts w:ascii="Times New Roman" w:hAnsi="Times New Roman" w:cs="Times New Roman"/>
          <w:sz w:val="22"/>
          <w:szCs w:val="24"/>
        </w:rPr>
        <w:t>Jaehyung</w:t>
      </w:r>
      <w:proofErr w:type="spellEnd"/>
      <w:r>
        <w:rPr>
          <w:rFonts w:ascii="Times New Roman" w:hAnsi="Times New Roman" w:cs="Times New Roman"/>
          <w:sz w:val="22"/>
          <w:szCs w:val="24"/>
        </w:rPr>
        <w:t xml:space="preserve"> Lee</w:t>
      </w:r>
    </w:p>
    <w:p w14:paraId="453DA215" w14:textId="77777777" w:rsidR="006B7809" w:rsidRPr="00666BFA" w:rsidRDefault="006B7809" w:rsidP="006B7809">
      <w:pPr>
        <w:jc w:val="center"/>
        <w:rPr>
          <w:rFonts w:ascii="Times New Roman" w:hAnsi="Times New Roman" w:cs="Times New Roman"/>
          <w:sz w:val="22"/>
          <w:szCs w:val="24"/>
        </w:rPr>
      </w:pPr>
    </w:p>
    <w:p w14:paraId="0E8A9A9A" w14:textId="1712861E" w:rsidR="006B7809" w:rsidRPr="006B7809" w:rsidRDefault="006B7809" w:rsidP="006B7809">
      <w:pPr>
        <w:jc w:val="center"/>
        <w:rPr>
          <w:rFonts w:ascii="Times New Roman" w:hAnsi="Times New Roman" w:cs="Times New Roman"/>
          <w:i/>
          <w:iCs/>
          <w:sz w:val="22"/>
          <w:szCs w:val="24"/>
        </w:rPr>
      </w:pPr>
      <w:proofErr w:type="spellStart"/>
      <w:r w:rsidRPr="006B7809">
        <w:rPr>
          <w:rFonts w:ascii="Times New Roman" w:hAnsi="Times New Roman" w:cs="Times New Roman" w:hint="eastAsia"/>
          <w:i/>
          <w:iCs/>
          <w:sz w:val="22"/>
          <w:szCs w:val="24"/>
        </w:rPr>
        <w:t>M</w:t>
      </w:r>
      <w:r w:rsidRPr="006B7809">
        <w:rPr>
          <w:rFonts w:ascii="Times New Roman" w:hAnsi="Times New Roman" w:cs="Times New Roman"/>
          <w:i/>
          <w:iCs/>
          <w:sz w:val="22"/>
          <w:szCs w:val="24"/>
        </w:rPr>
        <w:t>orphodynamics</w:t>
      </w:r>
      <w:proofErr w:type="spellEnd"/>
      <w:r w:rsidRPr="006B7809">
        <w:rPr>
          <w:rFonts w:ascii="Times New Roman" w:hAnsi="Times New Roman" w:cs="Times New Roman"/>
          <w:i/>
          <w:iCs/>
          <w:sz w:val="22"/>
          <w:szCs w:val="24"/>
        </w:rPr>
        <w:t xml:space="preserve"> and Quantitative Stratigraphy Laboratory</w:t>
      </w:r>
    </w:p>
    <w:p w14:paraId="6CDA1B21" w14:textId="1F655C17" w:rsidR="00666BFA" w:rsidRPr="006B7809" w:rsidRDefault="00666BFA" w:rsidP="006B7809">
      <w:pPr>
        <w:jc w:val="center"/>
        <w:rPr>
          <w:rFonts w:ascii="Times New Roman" w:hAnsi="Times New Roman" w:cs="Times New Roman"/>
          <w:i/>
          <w:iCs/>
          <w:sz w:val="22"/>
          <w:szCs w:val="24"/>
        </w:rPr>
      </w:pPr>
      <w:r w:rsidRPr="006B7809">
        <w:rPr>
          <w:rFonts w:ascii="Times New Roman" w:hAnsi="Times New Roman" w:cs="Times New Roman"/>
          <w:i/>
          <w:iCs/>
          <w:sz w:val="22"/>
          <w:szCs w:val="24"/>
        </w:rPr>
        <w:t>Yonsei University, Department of Earth System Sciences, Seoul, Republic of (South) Korea</w:t>
      </w:r>
    </w:p>
    <w:p w14:paraId="064FB548" w14:textId="77777777" w:rsidR="00666BFA" w:rsidRPr="00666BFA" w:rsidRDefault="00666BFA" w:rsidP="00666BFA">
      <w:pPr>
        <w:rPr>
          <w:rFonts w:ascii="Times New Roman" w:hAnsi="Times New Roman" w:cs="Times New Roman"/>
        </w:rPr>
      </w:pPr>
    </w:p>
    <w:p w14:paraId="3AEA3B09" w14:textId="77777777" w:rsidR="00666BFA" w:rsidRPr="00666BFA" w:rsidRDefault="00666BFA" w:rsidP="00666BFA">
      <w:pPr>
        <w:rPr>
          <w:rFonts w:ascii="Times New Roman" w:hAnsi="Times New Roman" w:cs="Times New Roman"/>
          <w:b/>
          <w:bCs/>
          <w:sz w:val="24"/>
          <w:szCs w:val="28"/>
        </w:rPr>
      </w:pPr>
      <w:r w:rsidRPr="00666BFA">
        <w:rPr>
          <w:rFonts w:ascii="Times New Roman" w:hAnsi="Times New Roman" w:cs="Times New Roman"/>
          <w:b/>
          <w:bCs/>
          <w:sz w:val="24"/>
          <w:szCs w:val="28"/>
        </w:rPr>
        <w:t>Abstract</w:t>
      </w:r>
    </w:p>
    <w:p w14:paraId="7076ECA1" w14:textId="34454074" w:rsidR="007D6CBE" w:rsidRPr="00666BFA" w:rsidRDefault="00C21C5D" w:rsidP="00C21C5D">
      <w:pPr>
        <w:ind w:firstLine="800"/>
        <w:rPr>
          <w:rFonts w:ascii="Times New Roman" w:hAnsi="Times New Roman" w:cs="Times New Roman"/>
          <w:sz w:val="22"/>
          <w:szCs w:val="24"/>
        </w:rPr>
      </w:pPr>
      <w:r w:rsidRPr="00C21C5D">
        <w:rPr>
          <w:rFonts w:ascii="AppleSDGothicNeoM00" w:eastAsia="AppleSDGothicNeoM00" w:hAnsi="AppleSDGothicNeoM00" w:cs="함초롬바탕"/>
          <w:sz w:val="22"/>
          <w:szCs w:val="24"/>
        </w:rPr>
        <w:t>The cause of formation in sedimentary structures can be broadly categorized into two processes: allogenic forcing and autogenic processes. Previous studies have often overlooked the influence of autogenic processes due to their small scale and randomness. However, recent studies (e.g., Kim et al., 2008) using flume experiments revealed that under calm environmental conditions, autogenic processes might cause cyclic signatures with measurable dimensions.</w:t>
      </w:r>
      <w:r w:rsidRPr="00C21C5D">
        <w:rPr>
          <w:rFonts w:ascii="AppleSDGothicNeoM00" w:eastAsia="AppleSDGothicNeoM00" w:hAnsi="AppleSDGothicNeoM00" w:cs="함초롬바탕"/>
          <w:sz w:val="22"/>
          <w:szCs w:val="24"/>
        </w:rPr>
        <w:t xml:space="preserve"> </w:t>
      </w:r>
      <w:r w:rsidRPr="00C21C5D">
        <w:rPr>
          <w:rFonts w:ascii="AppleSDGothicNeoM00" w:eastAsia="AppleSDGothicNeoM00" w:hAnsi="AppleSDGothicNeoM00" w:cs="함초롬바탕"/>
          <w:sz w:val="22"/>
          <w:szCs w:val="24"/>
        </w:rPr>
        <w:t>In this study, we analyze the periodic advancement and retreat of "grain-size transitions (GSTs)" under varying rates of sea-level rise. We conducted 33 experiments, with 11 different sea-level rise rates, repeated three times each. Under constant upper boundary conditions, the growth of the delta leads to the overall seaward advancement of the GST with occasional retreat. This repetitive advancement and retreat draw a zigzag-shaped trajectory, which can be quantified in two factors: the amplitude of GST movement and the frequency of retreat. Over 33 experiments, as the rate of sea-level rise increases, the amplitude of the trajectory decreases. However, the frequency of GST movement increases with a higher sea-level rise rate.</w:t>
      </w:r>
      <w:r w:rsidRPr="00C21C5D">
        <w:rPr>
          <w:rFonts w:ascii="AppleSDGothicNeoM00" w:eastAsia="AppleSDGothicNeoM00" w:hAnsi="AppleSDGothicNeoM00" w:cs="함초롬바탕"/>
          <w:sz w:val="22"/>
          <w:szCs w:val="24"/>
        </w:rPr>
        <w:t xml:space="preserve"> </w:t>
      </w:r>
      <w:r w:rsidRPr="00C21C5D">
        <w:rPr>
          <w:rFonts w:ascii="AppleSDGothicNeoM00" w:eastAsia="AppleSDGothicNeoM00" w:hAnsi="AppleSDGothicNeoM00" w:cs="함초롬바탕"/>
          <w:sz w:val="22"/>
          <w:szCs w:val="24"/>
        </w:rPr>
        <w:t>As sea level rises, more deposition occurs near the shoreline, leading to a decrease in the overall gradient of the delta surface. With the reduction in the overall gradient and the distance to the shoreline, the amount of sediment deposited on the delta surface decreases. As fluvial envelope (Powell et al., 20</w:t>
      </w:r>
      <w:r w:rsidRPr="00C21C5D">
        <w:rPr>
          <w:rFonts w:ascii="Cambria" w:eastAsia="AppleSDGothicNeoM00" w:hAnsi="Cambria" w:cs="함초롬바탕"/>
          <w:sz w:val="22"/>
          <w:szCs w:val="24"/>
        </w:rPr>
        <w:t xml:space="preserve">12) </w:t>
      </w:r>
      <w:r w:rsidRPr="00C21C5D">
        <w:rPr>
          <w:rFonts w:ascii="AppleSDGothicNeoM00" w:eastAsia="AppleSDGothicNeoM00" w:hAnsi="AppleSDGothicNeoM00" w:cs="함초롬바탕"/>
          <w:sz w:val="22"/>
          <w:szCs w:val="24"/>
        </w:rPr>
        <w:t>decreases, the storage and release of sediment, reflected by changes in gradient, occur more frequently for a given sediment supply rate. With the reduced amount of sediment stored during each storage phase, the amount of sediment to release decreases, resulting in shorter movement in GST.</w:t>
      </w:r>
      <w:r w:rsidRPr="00C21C5D">
        <w:rPr>
          <w:rFonts w:ascii="AppleSDGothicNeoM00" w:eastAsia="AppleSDGothicNeoM00" w:hAnsi="AppleSDGothicNeoM00" w:cs="함초롬바탕"/>
          <w:sz w:val="22"/>
          <w:szCs w:val="24"/>
        </w:rPr>
        <w:t xml:space="preserve"> </w:t>
      </w:r>
      <w:r w:rsidRPr="00C21C5D">
        <w:rPr>
          <w:rFonts w:ascii="AppleSDGothicNeoM00" w:eastAsia="AppleSDGothicNeoM00" w:hAnsi="AppleSDGothicNeoM00" w:cs="함초롬바탕"/>
          <w:sz w:val="22"/>
          <w:szCs w:val="24"/>
        </w:rPr>
        <w:t>This study demonstrates the potential use of grain-size transition patterns driven by autogenic processes as</w:t>
      </w:r>
      <w:r w:rsidRPr="00C21C5D">
        <w:rPr>
          <w:rFonts w:ascii="AppleSDGothicNeoM00" w:eastAsia="AppleSDGothicNeoM00" w:hAnsi="AppleSDGothicNeoM00" w:cs="함초롬바탕"/>
          <w:sz w:val="22"/>
          <w:szCs w:val="24"/>
        </w:rPr>
        <w:t xml:space="preserve"> </w:t>
      </w:r>
      <w:r w:rsidRPr="00C21C5D">
        <w:rPr>
          <w:rFonts w:ascii="AppleSDGothicNeoM00" w:eastAsia="AppleSDGothicNeoM00" w:hAnsi="AppleSDGothicNeoM00" w:cs="함초롬바탕"/>
          <w:sz w:val="22"/>
          <w:szCs w:val="24"/>
        </w:rPr>
        <w:t>a predictive tool for sea-level rise variations in limited and incomplete sedimentary record</w:t>
      </w:r>
      <w:r w:rsidRPr="00C21C5D">
        <w:rPr>
          <w:rFonts w:ascii="AppleSDGothicNeoM00" w:eastAsia="AppleSDGothicNeoM00" w:hAnsi="AppleSDGothicNeoM00" w:cs="함초롬바탕" w:hint="eastAsia"/>
          <w:sz w:val="22"/>
          <w:szCs w:val="24"/>
        </w:rPr>
        <w:t>s</w:t>
      </w:r>
      <w:r w:rsidRPr="00C21C5D">
        <w:rPr>
          <w:rFonts w:ascii="AppleSDGothicNeoM00" w:eastAsia="AppleSDGothicNeoM00" w:hAnsi="AppleSDGothicNeoM00" w:cs="함초롬바탕"/>
          <w:sz w:val="22"/>
          <w:szCs w:val="24"/>
        </w:rPr>
        <w:t>.</w:t>
      </w:r>
    </w:p>
    <w:sectPr w:rsidR="007D6CBE" w:rsidRPr="00666BF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68A05" w14:textId="77777777" w:rsidR="008C4D7A" w:rsidRDefault="008C4D7A" w:rsidP="00666BFA">
      <w:pPr>
        <w:spacing w:after="0" w:line="240" w:lineRule="auto"/>
      </w:pPr>
      <w:r>
        <w:separator/>
      </w:r>
    </w:p>
  </w:endnote>
  <w:endnote w:type="continuationSeparator" w:id="0">
    <w:p w14:paraId="23BC6730" w14:textId="77777777" w:rsidR="008C4D7A" w:rsidRDefault="008C4D7A" w:rsidP="00666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pleSDGothicNeoM00">
    <w:panose1 w:val="02000503000000000000"/>
    <w:charset w:val="81"/>
    <w:family w:val="auto"/>
    <w:pitch w:val="variable"/>
    <w:sig w:usb0="F00002EF" w:usb1="19DFFCFF" w:usb2="00000016" w:usb3="00000000" w:csb0="003A0015" w:csb1="00000000"/>
  </w:font>
  <w:font w:name="함초롬바탕">
    <w:panose1 w:val="02030604000101010101"/>
    <w:charset w:val="81"/>
    <w:family w:val="modern"/>
    <w:pitch w:val="variable"/>
    <w:sig w:usb0="F7002EFF" w:usb1="19DFFFFF" w:usb2="001BFDD7" w:usb3="00000000" w:csb0="001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3CBE" w14:textId="77777777" w:rsidR="008C4D7A" w:rsidRDefault="008C4D7A" w:rsidP="00666BFA">
      <w:pPr>
        <w:spacing w:after="0" w:line="240" w:lineRule="auto"/>
      </w:pPr>
      <w:r>
        <w:separator/>
      </w:r>
    </w:p>
  </w:footnote>
  <w:footnote w:type="continuationSeparator" w:id="0">
    <w:p w14:paraId="7289C04D" w14:textId="77777777" w:rsidR="008C4D7A" w:rsidRDefault="008C4D7A" w:rsidP="00666B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6A"/>
    <w:rsid w:val="00023BF8"/>
    <w:rsid w:val="003B7CE5"/>
    <w:rsid w:val="0050142B"/>
    <w:rsid w:val="0060246A"/>
    <w:rsid w:val="00666BFA"/>
    <w:rsid w:val="006B7809"/>
    <w:rsid w:val="007D6CBE"/>
    <w:rsid w:val="008C4D7A"/>
    <w:rsid w:val="008F672A"/>
    <w:rsid w:val="0097329F"/>
    <w:rsid w:val="00A838FB"/>
    <w:rsid w:val="00B874E8"/>
    <w:rsid w:val="00C21C5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5210E"/>
  <w15:chartTrackingRefBased/>
  <w15:docId w15:val="{6B1B09CD-3434-4EE6-B210-22C9A0EA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6BFA"/>
    <w:pPr>
      <w:tabs>
        <w:tab w:val="center" w:pos="4513"/>
        <w:tab w:val="right" w:pos="9026"/>
      </w:tabs>
      <w:snapToGrid w:val="0"/>
    </w:pPr>
  </w:style>
  <w:style w:type="character" w:customStyle="1" w:styleId="Char">
    <w:name w:val="머리글 Char"/>
    <w:basedOn w:val="a0"/>
    <w:link w:val="a3"/>
    <w:uiPriority w:val="99"/>
    <w:rsid w:val="00666BFA"/>
  </w:style>
  <w:style w:type="paragraph" w:styleId="a4">
    <w:name w:val="footer"/>
    <w:basedOn w:val="a"/>
    <w:link w:val="Char0"/>
    <w:uiPriority w:val="99"/>
    <w:unhideWhenUsed/>
    <w:rsid w:val="00666BFA"/>
    <w:pPr>
      <w:tabs>
        <w:tab w:val="center" w:pos="4513"/>
        <w:tab w:val="right" w:pos="9026"/>
      </w:tabs>
      <w:snapToGrid w:val="0"/>
    </w:pPr>
  </w:style>
  <w:style w:type="character" w:customStyle="1" w:styleId="Char0">
    <w:name w:val="바닥글 Char"/>
    <w:basedOn w:val="a0"/>
    <w:link w:val="a4"/>
    <w:uiPriority w:val="99"/>
    <w:rsid w:val="0066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340</Words>
  <Characters>1942</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SilverDH</dc:creator>
  <cp:keywords/>
  <dc:description/>
  <cp:lastModifiedBy>이재형</cp:lastModifiedBy>
  <cp:revision>6</cp:revision>
  <dcterms:created xsi:type="dcterms:W3CDTF">2023-07-27T02:08:00Z</dcterms:created>
  <dcterms:modified xsi:type="dcterms:W3CDTF">2023-11-28T02:17:00Z</dcterms:modified>
</cp:coreProperties>
</file>