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BE439" w14:textId="02AA17DE" w:rsidR="00500F2E" w:rsidRPr="009839CA" w:rsidRDefault="00917B08" w:rsidP="00B3583C">
      <w:pPr>
        <w:spacing w:line="240" w:lineRule="auto"/>
        <w:ind w:firstLine="220"/>
        <w:jc w:val="center"/>
        <w:rPr>
          <w:rFonts w:cs="Times New Roman"/>
          <w:b/>
          <w:bCs/>
          <w:szCs w:val="24"/>
        </w:rPr>
      </w:pPr>
      <w:r w:rsidRPr="009839CA">
        <w:rPr>
          <w:rFonts w:cs="Times New Roman"/>
          <w:b/>
          <w:bCs/>
          <w:szCs w:val="24"/>
        </w:rPr>
        <w:t xml:space="preserve">Modeling of </w:t>
      </w:r>
      <w:r w:rsidR="001A32CC" w:rsidRPr="009839CA">
        <w:rPr>
          <w:rFonts w:cs="Times New Roman"/>
          <w:b/>
          <w:bCs/>
          <w:szCs w:val="24"/>
        </w:rPr>
        <w:t xml:space="preserve">Radionuclide </w:t>
      </w:r>
      <w:r w:rsidRPr="009839CA">
        <w:rPr>
          <w:rFonts w:cs="Times New Roman"/>
          <w:b/>
          <w:bCs/>
          <w:szCs w:val="24"/>
        </w:rPr>
        <w:t>Migration near High-Level Radioactive Waste Repository Using COMSOL-PHREEQC Coupled Model</w:t>
      </w:r>
    </w:p>
    <w:p w14:paraId="1C97F510" w14:textId="77777777" w:rsidR="00437C3F" w:rsidRPr="00B3583C" w:rsidRDefault="00437C3F" w:rsidP="00500F2E">
      <w:pPr>
        <w:spacing w:line="240" w:lineRule="auto"/>
        <w:ind w:firstLine="220"/>
        <w:jc w:val="center"/>
        <w:rPr>
          <w:rFonts w:cs="Times New Roman"/>
          <w:szCs w:val="24"/>
        </w:rPr>
      </w:pPr>
    </w:p>
    <w:p w14:paraId="6E60E49E" w14:textId="77A74D34" w:rsidR="00500F2E" w:rsidRPr="001A32CC" w:rsidRDefault="00500F2E" w:rsidP="001A32CC">
      <w:pPr>
        <w:ind w:firstLine="220"/>
        <w:jc w:val="center"/>
        <w:rPr>
          <w:rFonts w:cs="Times New Roman"/>
        </w:rPr>
      </w:pPr>
      <w:r w:rsidRPr="001A32CC">
        <w:rPr>
          <w:rFonts w:cs="Times New Roman"/>
        </w:rPr>
        <w:t>Won Woo Yoon</w:t>
      </w:r>
    </w:p>
    <w:p w14:paraId="1E4A5C95" w14:textId="77777777" w:rsidR="001A32CC" w:rsidRDefault="001A32CC" w:rsidP="001A32CC">
      <w:pPr>
        <w:spacing w:line="240" w:lineRule="auto"/>
        <w:ind w:firstLine="220"/>
        <w:jc w:val="center"/>
        <w:rPr>
          <w:rFonts w:cs="Times New Roman"/>
        </w:rPr>
      </w:pPr>
      <w:r w:rsidRPr="00A51C96">
        <w:rPr>
          <w:rFonts w:cs="Times New Roman"/>
        </w:rPr>
        <w:t>Geologic Fluid Dynamics &amp; Geofluids Lab</w:t>
      </w:r>
    </w:p>
    <w:p w14:paraId="162F8161" w14:textId="0029A908" w:rsidR="007B70CF" w:rsidRDefault="007B70CF" w:rsidP="007B70CF">
      <w:pPr>
        <w:pStyle w:val="Default"/>
        <w:rPr>
          <w:rFonts w:eastAsiaTheme="minorEastAsia" w:cstheme="minorBidi"/>
          <w:color w:val="auto"/>
        </w:rPr>
      </w:pPr>
    </w:p>
    <w:p w14:paraId="594643E3" w14:textId="77777777" w:rsidR="001A32CC" w:rsidRPr="001A32CC" w:rsidRDefault="001A32CC" w:rsidP="007B70CF">
      <w:pPr>
        <w:pStyle w:val="Default"/>
        <w:rPr>
          <w:rFonts w:eastAsiaTheme="minorEastAsia" w:cstheme="minorBidi"/>
          <w:color w:val="auto"/>
        </w:rPr>
      </w:pPr>
    </w:p>
    <w:p w14:paraId="4BF3DFF5" w14:textId="566219EB" w:rsidR="00514E10" w:rsidRPr="00A03B8E" w:rsidRDefault="00126E39" w:rsidP="00A03B8E">
      <w:pPr>
        <w:spacing w:line="360" w:lineRule="auto"/>
        <w:ind w:firstLine="210"/>
        <w:rPr>
          <w:color w:val="252525"/>
          <w:sz w:val="21"/>
          <w:szCs w:val="21"/>
        </w:rPr>
      </w:pPr>
      <w:r>
        <w:rPr>
          <w:color w:val="252525"/>
          <w:sz w:val="21"/>
          <w:szCs w:val="21"/>
        </w:rPr>
        <w:t xml:space="preserve">The analysis of </w:t>
      </w:r>
      <w:r w:rsidR="001A32CC">
        <w:rPr>
          <w:color w:val="252525"/>
          <w:sz w:val="21"/>
          <w:szCs w:val="21"/>
        </w:rPr>
        <w:t xml:space="preserve">radionuclide </w:t>
      </w:r>
      <w:r w:rsidR="005A755F">
        <w:rPr>
          <w:color w:val="252525"/>
          <w:sz w:val="21"/>
          <w:szCs w:val="21"/>
        </w:rPr>
        <w:t>migration</w:t>
      </w:r>
      <w:r>
        <w:rPr>
          <w:color w:val="252525"/>
          <w:sz w:val="21"/>
          <w:szCs w:val="21"/>
        </w:rPr>
        <w:t xml:space="preserve"> is crucial for the accurate safety assessment of high-level radioactive waste</w:t>
      </w:r>
      <w:r w:rsidR="0020020C">
        <w:rPr>
          <w:color w:val="252525"/>
          <w:sz w:val="21"/>
          <w:szCs w:val="21"/>
        </w:rPr>
        <w:t xml:space="preserve"> (HLW)</w:t>
      </w:r>
      <w:r>
        <w:rPr>
          <w:color w:val="252525"/>
          <w:sz w:val="21"/>
          <w:szCs w:val="21"/>
        </w:rPr>
        <w:t xml:space="preserve"> repository. Previous studies showed that the migration of the </w:t>
      </w:r>
      <w:r w:rsidR="001A32CC">
        <w:rPr>
          <w:color w:val="252525"/>
          <w:sz w:val="21"/>
          <w:szCs w:val="21"/>
        </w:rPr>
        <w:t xml:space="preserve">radionuclide </w:t>
      </w:r>
      <w:r>
        <w:rPr>
          <w:color w:val="252525"/>
          <w:sz w:val="21"/>
          <w:szCs w:val="21"/>
        </w:rPr>
        <w:t>can be affected by various physical and chemical processes</w:t>
      </w:r>
      <w:r w:rsidR="00756DBA">
        <w:rPr>
          <w:color w:val="252525"/>
          <w:sz w:val="21"/>
          <w:szCs w:val="21"/>
        </w:rPr>
        <w:t>,</w:t>
      </w:r>
      <w:r w:rsidR="00952B60">
        <w:rPr>
          <w:color w:val="252525"/>
          <w:sz w:val="21"/>
          <w:szCs w:val="21"/>
        </w:rPr>
        <w:t xml:space="preserve"> such as groundwater flow, heat transfer, sorption/desorption and, precipitation/dissolution. </w:t>
      </w:r>
      <w:r w:rsidR="0020020C">
        <w:rPr>
          <w:rFonts w:hint="eastAsia"/>
          <w:color w:val="252525"/>
          <w:sz w:val="21"/>
          <w:szCs w:val="21"/>
        </w:rPr>
        <w:t>T</w:t>
      </w:r>
      <w:r w:rsidR="0020020C">
        <w:rPr>
          <w:color w:val="252525"/>
          <w:sz w:val="21"/>
          <w:szCs w:val="21"/>
        </w:rPr>
        <w:t>herefore, a coupled Thermal-Hydrological-Chemical (THC) model</w:t>
      </w:r>
      <w:r w:rsidR="00C84179">
        <w:rPr>
          <w:color w:val="252525"/>
          <w:sz w:val="21"/>
          <w:szCs w:val="21"/>
        </w:rPr>
        <w:t xml:space="preserve"> is required to accurately simulate the </w:t>
      </w:r>
      <w:r w:rsidR="001A32CC">
        <w:rPr>
          <w:color w:val="252525"/>
          <w:sz w:val="21"/>
          <w:szCs w:val="21"/>
        </w:rPr>
        <w:t>radionuclide</w:t>
      </w:r>
      <w:r w:rsidR="00C84179">
        <w:rPr>
          <w:color w:val="252525"/>
          <w:sz w:val="21"/>
          <w:szCs w:val="21"/>
        </w:rPr>
        <w:t xml:space="preserve"> migration near the HLW repository. </w:t>
      </w:r>
      <w:r w:rsidR="00A660C3">
        <w:rPr>
          <w:color w:val="252525"/>
          <w:sz w:val="21"/>
          <w:szCs w:val="21"/>
        </w:rPr>
        <w:t xml:space="preserve">In this study, COMSOL-PHREEQC coupled model was used to simulate the </w:t>
      </w:r>
      <w:r w:rsidR="001A32CC">
        <w:rPr>
          <w:color w:val="252525"/>
          <w:sz w:val="21"/>
          <w:szCs w:val="21"/>
        </w:rPr>
        <w:t>radionuclide</w:t>
      </w:r>
      <w:r w:rsidR="00A660C3">
        <w:rPr>
          <w:color w:val="252525"/>
          <w:sz w:val="21"/>
          <w:szCs w:val="21"/>
        </w:rPr>
        <w:t xml:space="preserve"> migration</w:t>
      </w:r>
      <w:r w:rsidR="006951EB">
        <w:rPr>
          <w:color w:val="252525"/>
          <w:sz w:val="21"/>
          <w:szCs w:val="21"/>
        </w:rPr>
        <w:t xml:space="preserve">. In the model, groundwater flow, heat transfer, and non-reactive </w:t>
      </w:r>
      <w:r w:rsidR="008556A2">
        <w:rPr>
          <w:color w:val="252525"/>
          <w:sz w:val="21"/>
          <w:szCs w:val="21"/>
        </w:rPr>
        <w:t>solute</w:t>
      </w:r>
      <w:r w:rsidR="006951EB">
        <w:rPr>
          <w:color w:val="252525"/>
          <w:sz w:val="21"/>
          <w:szCs w:val="21"/>
        </w:rPr>
        <w:t xml:space="preserve"> transport w</w:t>
      </w:r>
      <w:r w:rsidR="008556A2">
        <w:rPr>
          <w:color w:val="252525"/>
          <w:sz w:val="21"/>
          <w:szCs w:val="21"/>
        </w:rPr>
        <w:t>ere</w:t>
      </w:r>
      <w:r w:rsidR="006951EB">
        <w:rPr>
          <w:color w:val="252525"/>
          <w:sz w:val="21"/>
          <w:szCs w:val="21"/>
        </w:rPr>
        <w:t xml:space="preserve"> calculated by COMSOL, and geo-chemical reaction was calculated by PHREEQC. </w:t>
      </w:r>
      <w:r w:rsidR="0078646E">
        <w:rPr>
          <w:color w:val="252525"/>
          <w:sz w:val="21"/>
          <w:szCs w:val="21"/>
        </w:rPr>
        <w:t>S</w:t>
      </w:r>
      <w:r w:rsidR="0050375E">
        <w:rPr>
          <w:color w:val="252525"/>
          <w:sz w:val="21"/>
          <w:szCs w:val="21"/>
        </w:rPr>
        <w:t xml:space="preserve">orption was </w:t>
      </w:r>
      <w:r w:rsidR="008556A2">
        <w:rPr>
          <w:color w:val="252525"/>
          <w:sz w:val="21"/>
          <w:szCs w:val="21"/>
        </w:rPr>
        <w:t xml:space="preserve">primarily </w:t>
      </w:r>
      <w:r w:rsidR="0050375E">
        <w:rPr>
          <w:color w:val="252525"/>
          <w:sz w:val="21"/>
          <w:szCs w:val="21"/>
        </w:rPr>
        <w:t xml:space="preserve">considered </w:t>
      </w:r>
      <w:r w:rsidR="008556A2">
        <w:rPr>
          <w:color w:val="252525"/>
          <w:sz w:val="21"/>
          <w:szCs w:val="21"/>
        </w:rPr>
        <w:t xml:space="preserve">as </w:t>
      </w:r>
      <w:r w:rsidR="00BC3BC1">
        <w:rPr>
          <w:color w:val="252525"/>
          <w:sz w:val="21"/>
          <w:szCs w:val="21"/>
        </w:rPr>
        <w:t xml:space="preserve">geo-chemical reaction </w:t>
      </w:r>
      <w:r w:rsidR="0050375E">
        <w:rPr>
          <w:color w:val="252525"/>
          <w:sz w:val="21"/>
          <w:szCs w:val="21"/>
        </w:rPr>
        <w:t xml:space="preserve">in the model, using </w:t>
      </w:r>
      <w:r w:rsidR="008556A2">
        <w:rPr>
          <w:color w:val="252525"/>
          <w:sz w:val="21"/>
          <w:szCs w:val="21"/>
        </w:rPr>
        <w:t xml:space="preserve">the concept </w:t>
      </w:r>
      <w:r w:rsidR="001A32CC">
        <w:rPr>
          <w:color w:val="252525"/>
          <w:sz w:val="21"/>
          <w:szCs w:val="21"/>
        </w:rPr>
        <w:t xml:space="preserve">of cation exchange (CE), multisite-cation exchange (MCE), and </w:t>
      </w:r>
      <w:r w:rsidR="0050375E">
        <w:rPr>
          <w:color w:val="252525"/>
          <w:sz w:val="21"/>
          <w:szCs w:val="21"/>
        </w:rPr>
        <w:t xml:space="preserve">two-site </w:t>
      </w:r>
      <w:proofErr w:type="spellStart"/>
      <w:r w:rsidR="0050375E">
        <w:rPr>
          <w:color w:val="252525"/>
          <w:sz w:val="21"/>
          <w:szCs w:val="21"/>
        </w:rPr>
        <w:t>protolysis</w:t>
      </w:r>
      <w:proofErr w:type="spellEnd"/>
      <w:r w:rsidR="0050375E">
        <w:rPr>
          <w:color w:val="252525"/>
          <w:sz w:val="21"/>
          <w:szCs w:val="21"/>
        </w:rPr>
        <w:t xml:space="preserve"> </w:t>
      </w:r>
      <w:proofErr w:type="spellStart"/>
      <w:r w:rsidR="0050375E">
        <w:rPr>
          <w:color w:val="252525"/>
          <w:sz w:val="21"/>
          <w:szCs w:val="21"/>
        </w:rPr>
        <w:t>nonelctrostatic</w:t>
      </w:r>
      <w:proofErr w:type="spellEnd"/>
      <w:r w:rsidR="0050375E">
        <w:rPr>
          <w:color w:val="252525"/>
          <w:sz w:val="21"/>
          <w:szCs w:val="21"/>
        </w:rPr>
        <w:t xml:space="preserve"> surface complexation and cation exchange (2 SP NE SC/CE).</w:t>
      </w:r>
      <w:r w:rsidR="00BC3BC1">
        <w:rPr>
          <w:color w:val="252525"/>
          <w:sz w:val="21"/>
          <w:szCs w:val="21"/>
        </w:rPr>
        <w:t xml:space="preserve"> A modified operator splitting method was used to couple the results of COMSOL and PHREEQC.</w:t>
      </w:r>
      <w:r w:rsidR="00A03B8E">
        <w:rPr>
          <w:rFonts w:hint="eastAsia"/>
          <w:color w:val="252525"/>
          <w:sz w:val="21"/>
          <w:szCs w:val="21"/>
        </w:rPr>
        <w:t xml:space="preserve"> </w:t>
      </w:r>
      <w:r w:rsidR="001E5323">
        <w:rPr>
          <w:color w:val="252525"/>
          <w:sz w:val="21"/>
          <w:szCs w:val="21"/>
        </w:rPr>
        <w:t xml:space="preserve">Three benchmarks were done to assess the accuracy of the model. PHREEQC </w:t>
      </w:r>
      <w:r w:rsidR="0078646E">
        <w:rPr>
          <w:color w:val="252525"/>
          <w:sz w:val="21"/>
          <w:szCs w:val="21"/>
        </w:rPr>
        <w:t>transport and cation exchange model,</w:t>
      </w:r>
      <w:r w:rsidR="001E5323">
        <w:rPr>
          <w:color w:val="252525"/>
          <w:sz w:val="21"/>
          <w:szCs w:val="21"/>
        </w:rPr>
        <w:t xml:space="preserve"> </w:t>
      </w:r>
      <w:r w:rsidR="003600D2">
        <w:rPr>
          <w:color w:val="252525"/>
          <w:sz w:val="21"/>
          <w:szCs w:val="21"/>
        </w:rPr>
        <w:t>cesium</w:t>
      </w:r>
      <w:r w:rsidR="001E5323">
        <w:rPr>
          <w:color w:val="252525"/>
          <w:sz w:val="21"/>
          <w:szCs w:val="21"/>
        </w:rPr>
        <w:t xml:space="preserve"> column transport experiment done by </w:t>
      </w:r>
      <w:proofErr w:type="spellStart"/>
      <w:r w:rsidR="001E5323">
        <w:rPr>
          <w:color w:val="252525"/>
          <w:sz w:val="21"/>
          <w:szCs w:val="21"/>
        </w:rPr>
        <w:t>Steefel</w:t>
      </w:r>
      <w:proofErr w:type="spellEnd"/>
      <w:r w:rsidR="001E5323">
        <w:rPr>
          <w:color w:val="252525"/>
          <w:sz w:val="21"/>
          <w:szCs w:val="21"/>
        </w:rPr>
        <w:t xml:space="preserve"> et al., (2002), </w:t>
      </w:r>
      <w:r w:rsidR="0078646E">
        <w:rPr>
          <w:color w:val="252525"/>
          <w:sz w:val="21"/>
          <w:szCs w:val="21"/>
        </w:rPr>
        <w:t>and the batch sorption experiment done by Fernande</w:t>
      </w:r>
      <w:r w:rsidR="00514E10">
        <w:rPr>
          <w:color w:val="252525"/>
          <w:sz w:val="21"/>
          <w:szCs w:val="21"/>
        </w:rPr>
        <w:t>s</w:t>
      </w:r>
      <w:r w:rsidR="0078646E">
        <w:rPr>
          <w:color w:val="252525"/>
          <w:sz w:val="21"/>
          <w:szCs w:val="21"/>
        </w:rPr>
        <w:t xml:space="preserve"> et al., (2012), and Bradbury and </w:t>
      </w:r>
      <w:proofErr w:type="spellStart"/>
      <w:r w:rsidR="0078646E">
        <w:rPr>
          <w:color w:val="252525"/>
          <w:sz w:val="21"/>
          <w:szCs w:val="21"/>
        </w:rPr>
        <w:t>Baeyens</w:t>
      </w:r>
      <w:proofErr w:type="spellEnd"/>
      <w:r w:rsidR="0078646E">
        <w:rPr>
          <w:color w:val="252525"/>
          <w:sz w:val="21"/>
          <w:szCs w:val="21"/>
        </w:rPr>
        <w:t xml:space="preserve">, (2009). </w:t>
      </w:r>
      <w:r w:rsidR="00262A59">
        <w:rPr>
          <w:color w:val="252525"/>
          <w:sz w:val="21"/>
          <w:szCs w:val="21"/>
        </w:rPr>
        <w:t>T</w:t>
      </w:r>
      <w:r w:rsidR="0078646E">
        <w:rPr>
          <w:color w:val="252525"/>
          <w:sz w:val="21"/>
          <w:szCs w:val="21"/>
        </w:rPr>
        <w:t xml:space="preserve">hree </w:t>
      </w:r>
      <w:r w:rsidR="00262A59">
        <w:rPr>
          <w:color w:val="252525"/>
          <w:sz w:val="21"/>
          <w:szCs w:val="21"/>
        </w:rPr>
        <w:t xml:space="preserve">benchmark results </w:t>
      </w:r>
      <w:r w:rsidR="0078646E">
        <w:rPr>
          <w:color w:val="252525"/>
          <w:sz w:val="21"/>
          <w:szCs w:val="21"/>
        </w:rPr>
        <w:t>showed re</w:t>
      </w:r>
      <w:r w:rsidR="00262A59">
        <w:rPr>
          <w:color w:val="252525"/>
          <w:sz w:val="21"/>
          <w:szCs w:val="21"/>
        </w:rPr>
        <w:t xml:space="preserve">liable matching with results from the previous studies. </w:t>
      </w:r>
      <w:r w:rsidR="00236609">
        <w:rPr>
          <w:color w:val="252525"/>
          <w:sz w:val="21"/>
          <w:szCs w:val="21"/>
        </w:rPr>
        <w:t>After the validation,</w:t>
      </w:r>
      <w:r w:rsidR="00514E10">
        <w:rPr>
          <w:color w:val="252525"/>
          <w:sz w:val="21"/>
          <w:szCs w:val="21"/>
        </w:rPr>
        <w:t xml:space="preserve"> </w:t>
      </w:r>
      <w:r w:rsidR="001A32CC">
        <w:rPr>
          <w:color w:val="252525"/>
          <w:sz w:val="21"/>
          <w:szCs w:val="21"/>
        </w:rPr>
        <w:t xml:space="preserve">uranium </w:t>
      </w:r>
      <w:r w:rsidR="00236609">
        <w:rPr>
          <w:color w:val="252525"/>
          <w:sz w:val="21"/>
          <w:szCs w:val="21"/>
        </w:rPr>
        <w:t xml:space="preserve">1D transport </w:t>
      </w:r>
      <w:r w:rsidR="00236609" w:rsidRPr="00514E10">
        <w:rPr>
          <w:rFonts w:cs="Times New Roman"/>
          <w:color w:val="252525"/>
          <w:sz w:val="21"/>
          <w:szCs w:val="21"/>
        </w:rPr>
        <w:t xml:space="preserve">simulation on arbitrary porewater condition was conducted. </w:t>
      </w:r>
      <w:r w:rsidR="00C967AA" w:rsidRPr="00514E10">
        <w:rPr>
          <w:rFonts w:cs="Times New Roman"/>
          <w:color w:val="252525"/>
          <w:sz w:val="21"/>
          <w:szCs w:val="21"/>
        </w:rPr>
        <w:t xml:space="preserve">From the results, the evolution of the </w:t>
      </w:r>
      <w:r w:rsidR="001A32CC">
        <w:rPr>
          <w:rFonts w:cs="Times New Roman"/>
          <w:color w:val="252525"/>
          <w:sz w:val="21"/>
          <w:szCs w:val="21"/>
        </w:rPr>
        <w:t xml:space="preserve">uranium </w:t>
      </w:r>
      <w:r w:rsidR="00C967AA" w:rsidRPr="00514E10">
        <w:rPr>
          <w:rFonts w:cs="Times New Roman"/>
          <w:color w:val="252525"/>
          <w:sz w:val="21"/>
          <w:szCs w:val="21"/>
        </w:rPr>
        <w:t>front with sequentially saturating sites was observed.</w:t>
      </w:r>
      <w:r w:rsidR="00CB05BD" w:rsidRPr="00514E10">
        <w:rPr>
          <w:rFonts w:cs="Times New Roman"/>
          <w:color w:val="252525"/>
          <w:sz w:val="21"/>
          <w:szCs w:val="21"/>
        </w:rPr>
        <w:t xml:space="preserve"> </w:t>
      </w:r>
      <w:r w:rsidR="006D5358" w:rsidRPr="00514E10">
        <w:rPr>
          <w:rFonts w:cs="Times New Roman"/>
          <w:color w:val="252525"/>
          <w:sz w:val="21"/>
          <w:szCs w:val="21"/>
        </w:rPr>
        <w:t xml:space="preserve">For further study, </w:t>
      </w:r>
      <w:r w:rsidR="001A32CC">
        <w:rPr>
          <w:rFonts w:cs="Times New Roman"/>
          <w:color w:val="252525"/>
          <w:sz w:val="21"/>
          <w:szCs w:val="21"/>
        </w:rPr>
        <w:t>2</w:t>
      </w:r>
      <w:r w:rsidR="006D5358" w:rsidRPr="00514E10">
        <w:rPr>
          <w:rFonts w:cs="Times New Roman"/>
          <w:color w:val="252525"/>
          <w:sz w:val="21"/>
          <w:szCs w:val="21"/>
        </w:rPr>
        <w:t xml:space="preserve"> main tasks were proposed. First, </w:t>
      </w:r>
      <w:r w:rsidR="000A3648" w:rsidRPr="00514E10">
        <w:rPr>
          <w:rFonts w:cs="Times New Roman"/>
          <w:color w:val="252525"/>
          <w:sz w:val="21"/>
          <w:szCs w:val="21"/>
        </w:rPr>
        <w:t>precipitation/dissolution will be added to the reaction part. Second,</w:t>
      </w:r>
      <w:r w:rsidR="00CB05BD" w:rsidRPr="00514E10">
        <w:rPr>
          <w:rFonts w:cs="Times New Roman"/>
          <w:color w:val="252525"/>
          <w:sz w:val="21"/>
          <w:szCs w:val="21"/>
        </w:rPr>
        <w:t xml:space="preserve"> </w:t>
      </w:r>
      <w:proofErr w:type="gramStart"/>
      <w:r w:rsidR="001A32CC">
        <w:rPr>
          <w:rFonts w:cs="Times New Roman"/>
          <w:color w:val="252525"/>
          <w:sz w:val="21"/>
          <w:szCs w:val="21"/>
        </w:rPr>
        <w:t>The</w:t>
      </w:r>
      <w:proofErr w:type="gramEnd"/>
      <w:r w:rsidR="001A32CC">
        <w:rPr>
          <w:rFonts w:cs="Times New Roman"/>
          <w:color w:val="252525"/>
          <w:sz w:val="21"/>
          <w:szCs w:val="21"/>
        </w:rPr>
        <w:t xml:space="preserve"> modeling range will be expended to fractured granite zone in 2D or 3D model.</w:t>
      </w:r>
    </w:p>
    <w:p w14:paraId="668D549E" w14:textId="77777777" w:rsidR="00514E10" w:rsidRPr="001A32CC" w:rsidRDefault="00514E10" w:rsidP="00514E10">
      <w:pPr>
        <w:spacing w:line="360" w:lineRule="auto"/>
        <w:rPr>
          <w:rFonts w:cs="Times New Roman"/>
          <w:color w:val="252525"/>
          <w:sz w:val="10"/>
          <w:szCs w:val="10"/>
        </w:rPr>
      </w:pPr>
    </w:p>
    <w:p w14:paraId="0E843D90" w14:textId="01085EA7" w:rsidR="006D5358" w:rsidRPr="00514E10" w:rsidRDefault="00514E10" w:rsidP="00514E10">
      <w:pPr>
        <w:spacing w:line="360" w:lineRule="auto"/>
        <w:ind w:firstLine="160"/>
        <w:rPr>
          <w:rFonts w:cs="Times New Roman"/>
          <w:color w:val="252525"/>
          <w:sz w:val="16"/>
          <w:szCs w:val="16"/>
        </w:rPr>
      </w:pPr>
      <w:r w:rsidRPr="00514E10">
        <w:rPr>
          <w:rFonts w:cs="Times New Roman"/>
          <w:color w:val="252525"/>
          <w:sz w:val="16"/>
          <w:szCs w:val="16"/>
        </w:rPr>
        <w:t>References</w:t>
      </w:r>
    </w:p>
    <w:p w14:paraId="3923E670" w14:textId="713FEE22" w:rsidR="00514E10" w:rsidRPr="00514E10" w:rsidRDefault="00514E10" w:rsidP="00514E10">
      <w:pPr>
        <w:wordWrap/>
        <w:adjustRightInd w:val="0"/>
        <w:spacing w:after="0" w:line="240" w:lineRule="auto"/>
        <w:ind w:firstLineChars="0" w:firstLine="160"/>
        <w:jc w:val="left"/>
        <w:rPr>
          <w:rFonts w:cs="Times New Roman"/>
          <w:kern w:val="0"/>
          <w:sz w:val="16"/>
          <w:szCs w:val="16"/>
        </w:rPr>
      </w:pPr>
      <w:r w:rsidRPr="00514E10">
        <w:rPr>
          <w:rFonts w:cs="Times New Roman"/>
          <w:kern w:val="0"/>
          <w:sz w:val="16"/>
          <w:szCs w:val="16"/>
        </w:rPr>
        <w:t xml:space="preserve">Bradbury, M. &amp; </w:t>
      </w:r>
      <w:proofErr w:type="spellStart"/>
      <w:r w:rsidRPr="00514E10">
        <w:rPr>
          <w:rFonts w:cs="Times New Roman"/>
          <w:kern w:val="0"/>
          <w:sz w:val="16"/>
          <w:szCs w:val="16"/>
        </w:rPr>
        <w:t>Baeyens</w:t>
      </w:r>
      <w:proofErr w:type="spellEnd"/>
      <w:r w:rsidRPr="00514E10">
        <w:rPr>
          <w:rFonts w:cs="Times New Roman"/>
          <w:kern w:val="0"/>
          <w:sz w:val="16"/>
          <w:szCs w:val="16"/>
        </w:rPr>
        <w:t xml:space="preserve">, B. 2009. Sorption modelling on </w:t>
      </w:r>
      <w:proofErr w:type="spellStart"/>
      <w:r w:rsidRPr="00514E10">
        <w:rPr>
          <w:rFonts w:cs="Times New Roman"/>
          <w:kern w:val="0"/>
          <w:sz w:val="16"/>
          <w:szCs w:val="16"/>
        </w:rPr>
        <w:t>illite</w:t>
      </w:r>
      <w:proofErr w:type="spellEnd"/>
      <w:r w:rsidRPr="00514E10">
        <w:rPr>
          <w:rFonts w:cs="Times New Roman"/>
          <w:kern w:val="0"/>
          <w:sz w:val="16"/>
          <w:szCs w:val="16"/>
        </w:rPr>
        <w:t xml:space="preserve">. Part II: Actinide sorption and linear free energy relationships. </w:t>
      </w:r>
      <w:proofErr w:type="spellStart"/>
      <w:r w:rsidRPr="00514E10">
        <w:rPr>
          <w:rFonts w:cs="Times New Roman"/>
          <w:kern w:val="0"/>
          <w:sz w:val="16"/>
          <w:szCs w:val="16"/>
        </w:rPr>
        <w:t>Geochimica</w:t>
      </w:r>
      <w:proofErr w:type="spellEnd"/>
      <w:r w:rsidRPr="00514E10">
        <w:rPr>
          <w:rFonts w:cs="Times New Roman"/>
          <w:kern w:val="0"/>
          <w:sz w:val="16"/>
          <w:szCs w:val="16"/>
        </w:rPr>
        <w:t xml:space="preserve"> et </w:t>
      </w:r>
      <w:proofErr w:type="spellStart"/>
      <w:r w:rsidRPr="00514E10">
        <w:rPr>
          <w:rFonts w:cs="Times New Roman"/>
          <w:kern w:val="0"/>
          <w:sz w:val="16"/>
          <w:szCs w:val="16"/>
        </w:rPr>
        <w:t>Cosmochimica</w:t>
      </w:r>
      <w:proofErr w:type="spellEnd"/>
      <w:r w:rsidRPr="00514E10">
        <w:rPr>
          <w:rFonts w:cs="Times New Roman"/>
          <w:kern w:val="0"/>
          <w:sz w:val="16"/>
          <w:szCs w:val="16"/>
        </w:rPr>
        <w:t xml:space="preserve"> Acta, 73, 1004-1013.</w:t>
      </w:r>
    </w:p>
    <w:p w14:paraId="3DF87628" w14:textId="7C8D2FE9" w:rsidR="00514E10" w:rsidRPr="00514E10" w:rsidRDefault="00514E10" w:rsidP="00514E10">
      <w:pPr>
        <w:pStyle w:val="EndNoteBibliography"/>
        <w:spacing w:after="0"/>
        <w:ind w:firstLine="160"/>
        <w:rPr>
          <w:sz w:val="16"/>
          <w:szCs w:val="16"/>
        </w:rPr>
      </w:pPr>
      <w:r w:rsidRPr="00514E10">
        <w:rPr>
          <w:sz w:val="16"/>
          <w:szCs w:val="16"/>
        </w:rPr>
        <w:t>Fernandes, M.M., Baeyens, B., Dähn, R., Scheinost, A., Bradbury, M., 2012. U (VI) sorption on montmorillonite in the absence and presence of carbonate: A macroscopic and microscopic study. Geochimica et Cosmochimica Acta 93, 262-277.</w:t>
      </w:r>
    </w:p>
    <w:p w14:paraId="7A5E3214" w14:textId="56F41C2C" w:rsidR="00514E10" w:rsidRPr="00514E10" w:rsidRDefault="00514E10" w:rsidP="00514E10">
      <w:pPr>
        <w:wordWrap/>
        <w:adjustRightInd w:val="0"/>
        <w:spacing w:after="0" w:line="240" w:lineRule="auto"/>
        <w:ind w:firstLineChars="0" w:firstLine="160"/>
        <w:jc w:val="left"/>
        <w:rPr>
          <w:rFonts w:cs="Times New Roman"/>
          <w:kern w:val="0"/>
          <w:sz w:val="16"/>
          <w:szCs w:val="16"/>
        </w:rPr>
      </w:pPr>
      <w:proofErr w:type="spellStart"/>
      <w:r w:rsidRPr="00514E10">
        <w:rPr>
          <w:rFonts w:cs="Times New Roman"/>
          <w:kern w:val="0"/>
          <w:sz w:val="16"/>
          <w:szCs w:val="16"/>
        </w:rPr>
        <w:t>Steefel</w:t>
      </w:r>
      <w:proofErr w:type="spellEnd"/>
      <w:r w:rsidRPr="00514E10">
        <w:rPr>
          <w:rFonts w:cs="Times New Roman"/>
          <w:kern w:val="0"/>
          <w:sz w:val="16"/>
          <w:szCs w:val="16"/>
        </w:rPr>
        <w:t>, C.I., Carroll, S., Zhao, P. &amp; Roberts, S. 2003. Cesium migration in Hanford sediment: a multisite cation exchange model based on laboratory transport experiments. Journal of contaminant hydrology, 67, 219-246.</w:t>
      </w:r>
      <w:r>
        <w:rPr>
          <w:color w:val="252525"/>
          <w:sz w:val="21"/>
          <w:szCs w:val="21"/>
        </w:rPr>
        <w:fldChar w:fldCharType="begin"/>
      </w:r>
      <w:r>
        <w:rPr>
          <w:color w:val="252525"/>
          <w:sz w:val="21"/>
          <w:szCs w:val="21"/>
        </w:rPr>
        <w:instrText xml:space="preserve"> ADDIN EN.REFLIST </w:instrText>
      </w:r>
      <w:r w:rsidR="00000000">
        <w:rPr>
          <w:color w:val="252525"/>
          <w:sz w:val="21"/>
          <w:szCs w:val="21"/>
        </w:rPr>
        <w:fldChar w:fldCharType="separate"/>
      </w:r>
      <w:r>
        <w:rPr>
          <w:color w:val="252525"/>
          <w:sz w:val="21"/>
          <w:szCs w:val="21"/>
        </w:rPr>
        <w:fldChar w:fldCharType="end"/>
      </w:r>
    </w:p>
    <w:sectPr w:rsidR="00514E10" w:rsidRPr="00514E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BFE07" w14:textId="77777777" w:rsidR="005B3EC5" w:rsidRDefault="005B3EC5">
      <w:pPr>
        <w:spacing w:after="0" w:line="240" w:lineRule="auto"/>
        <w:ind w:firstLine="220"/>
      </w:pPr>
      <w:r>
        <w:separator/>
      </w:r>
    </w:p>
  </w:endnote>
  <w:endnote w:type="continuationSeparator" w:id="0">
    <w:p w14:paraId="7EE29848" w14:textId="77777777" w:rsidR="005B3EC5" w:rsidRDefault="005B3EC5">
      <w:pPr>
        <w:spacing w:after="0" w:line="240" w:lineRule="auto"/>
        <w:ind w:firstLine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D9984" w14:textId="77777777" w:rsidR="000925DE" w:rsidRDefault="0000000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631F" w14:textId="77777777" w:rsidR="000925DE" w:rsidRDefault="0000000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86A9" w14:textId="77777777" w:rsidR="000925DE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CB044" w14:textId="77777777" w:rsidR="005B3EC5" w:rsidRDefault="005B3EC5">
      <w:pPr>
        <w:spacing w:after="0" w:line="240" w:lineRule="auto"/>
        <w:ind w:firstLine="220"/>
      </w:pPr>
      <w:r>
        <w:separator/>
      </w:r>
    </w:p>
  </w:footnote>
  <w:footnote w:type="continuationSeparator" w:id="0">
    <w:p w14:paraId="1E69201E" w14:textId="77777777" w:rsidR="005B3EC5" w:rsidRDefault="005B3EC5">
      <w:pPr>
        <w:spacing w:after="0" w:line="240" w:lineRule="auto"/>
        <w:ind w:firstLine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A8A9" w14:textId="77777777" w:rsidR="000925DE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2B50" w14:textId="77777777" w:rsidR="000925DE" w:rsidRDefault="0000000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B750" w14:textId="77777777" w:rsidR="000925DE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KwtDQzsDAyNzAxMzVW0lEKTi0uzszPAykwqwUA4wwei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gineering Geolog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f5zpvx2t2r2ierrspxwfp9ddps9ddzfe9v&quot;&gt;wonwoo-Converted&lt;record-ids&gt;&lt;item&gt;158&lt;/item&gt;&lt;/record-ids&gt;&lt;/item&gt;&lt;/Libraries&gt;"/>
  </w:docVars>
  <w:rsids>
    <w:rsidRoot w:val="00500F2E"/>
    <w:rsid w:val="00081D73"/>
    <w:rsid w:val="000A3648"/>
    <w:rsid w:val="0010133C"/>
    <w:rsid w:val="00126E39"/>
    <w:rsid w:val="00142DF9"/>
    <w:rsid w:val="001A32CC"/>
    <w:rsid w:val="001B6171"/>
    <w:rsid w:val="001C3298"/>
    <w:rsid w:val="001E5323"/>
    <w:rsid w:val="0020020C"/>
    <w:rsid w:val="002341F4"/>
    <w:rsid w:val="00236609"/>
    <w:rsid w:val="00262A59"/>
    <w:rsid w:val="00290454"/>
    <w:rsid w:val="00294E4A"/>
    <w:rsid w:val="002A3619"/>
    <w:rsid w:val="002B660F"/>
    <w:rsid w:val="002C6521"/>
    <w:rsid w:val="002D3D83"/>
    <w:rsid w:val="00347AC7"/>
    <w:rsid w:val="003600D2"/>
    <w:rsid w:val="003A15A9"/>
    <w:rsid w:val="003A280E"/>
    <w:rsid w:val="003D2789"/>
    <w:rsid w:val="00425229"/>
    <w:rsid w:val="00437C3F"/>
    <w:rsid w:val="0044269D"/>
    <w:rsid w:val="00497C97"/>
    <w:rsid w:val="004B41F3"/>
    <w:rsid w:val="00500F2E"/>
    <w:rsid w:val="0050375E"/>
    <w:rsid w:val="00514E10"/>
    <w:rsid w:val="005528C5"/>
    <w:rsid w:val="00563DA4"/>
    <w:rsid w:val="0058617E"/>
    <w:rsid w:val="005A0B87"/>
    <w:rsid w:val="005A755F"/>
    <w:rsid w:val="005B3EC5"/>
    <w:rsid w:val="005E20CC"/>
    <w:rsid w:val="006845BD"/>
    <w:rsid w:val="006951EB"/>
    <w:rsid w:val="006B1C68"/>
    <w:rsid w:val="006D5358"/>
    <w:rsid w:val="007272CF"/>
    <w:rsid w:val="007351ED"/>
    <w:rsid w:val="00741E1D"/>
    <w:rsid w:val="00756DBA"/>
    <w:rsid w:val="0078646E"/>
    <w:rsid w:val="007B70CF"/>
    <w:rsid w:val="007F058C"/>
    <w:rsid w:val="008474BC"/>
    <w:rsid w:val="008556A2"/>
    <w:rsid w:val="008E1393"/>
    <w:rsid w:val="0090591A"/>
    <w:rsid w:val="00917B08"/>
    <w:rsid w:val="00917B71"/>
    <w:rsid w:val="00931263"/>
    <w:rsid w:val="00952B60"/>
    <w:rsid w:val="0096694F"/>
    <w:rsid w:val="009839CA"/>
    <w:rsid w:val="0098535B"/>
    <w:rsid w:val="00990C95"/>
    <w:rsid w:val="009A37A2"/>
    <w:rsid w:val="009F08D5"/>
    <w:rsid w:val="00A03B8E"/>
    <w:rsid w:val="00A51C96"/>
    <w:rsid w:val="00A660C3"/>
    <w:rsid w:val="00AF0122"/>
    <w:rsid w:val="00B2112F"/>
    <w:rsid w:val="00B3583C"/>
    <w:rsid w:val="00B435DF"/>
    <w:rsid w:val="00B5743D"/>
    <w:rsid w:val="00B80478"/>
    <w:rsid w:val="00BC3BC1"/>
    <w:rsid w:val="00BD55F8"/>
    <w:rsid w:val="00BF0BFB"/>
    <w:rsid w:val="00C12428"/>
    <w:rsid w:val="00C16FDD"/>
    <w:rsid w:val="00C84179"/>
    <w:rsid w:val="00C967AA"/>
    <w:rsid w:val="00CB05BD"/>
    <w:rsid w:val="00CD0297"/>
    <w:rsid w:val="00CE5BFA"/>
    <w:rsid w:val="00D02D3E"/>
    <w:rsid w:val="00D72435"/>
    <w:rsid w:val="00E621B2"/>
    <w:rsid w:val="00EF3F18"/>
    <w:rsid w:val="00FC32D4"/>
    <w:rsid w:val="00FC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1ED9E"/>
  <w15:chartTrackingRefBased/>
  <w15:docId w15:val="{9A0B074C-292A-4D14-9472-0CDDFEC6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F2E"/>
    <w:pPr>
      <w:widowControl w:val="0"/>
      <w:wordWrap w:val="0"/>
      <w:autoSpaceDE w:val="0"/>
      <w:autoSpaceDN w:val="0"/>
      <w:spacing w:line="480" w:lineRule="auto"/>
      <w:ind w:firstLineChars="100" w:firstLine="100"/>
    </w:pPr>
    <w:rPr>
      <w:rFonts w:ascii="Times New Roman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0F2E"/>
    <w:pPr>
      <w:tabs>
        <w:tab w:val="center" w:pos="4513"/>
        <w:tab w:val="right" w:pos="9026"/>
      </w:tabs>
      <w:snapToGrid w:val="0"/>
      <w:spacing w:line="259" w:lineRule="auto"/>
      <w:ind w:firstLineChars="0" w:firstLine="0"/>
    </w:pPr>
    <w:rPr>
      <w:rFonts w:asciiTheme="minorHAnsi" w:hAnsiTheme="minorHAnsi"/>
      <w:sz w:val="20"/>
    </w:rPr>
  </w:style>
  <w:style w:type="character" w:customStyle="1" w:styleId="Char">
    <w:name w:val="머리글 Char"/>
    <w:basedOn w:val="a0"/>
    <w:link w:val="a3"/>
    <w:uiPriority w:val="99"/>
    <w:rsid w:val="00500F2E"/>
  </w:style>
  <w:style w:type="paragraph" w:styleId="a4">
    <w:name w:val="footer"/>
    <w:basedOn w:val="a"/>
    <w:link w:val="Char0"/>
    <w:uiPriority w:val="99"/>
    <w:unhideWhenUsed/>
    <w:rsid w:val="00500F2E"/>
    <w:pPr>
      <w:tabs>
        <w:tab w:val="center" w:pos="4513"/>
        <w:tab w:val="right" w:pos="9026"/>
      </w:tabs>
      <w:snapToGrid w:val="0"/>
      <w:spacing w:line="259" w:lineRule="auto"/>
      <w:ind w:firstLineChars="0" w:firstLine="0"/>
    </w:pPr>
    <w:rPr>
      <w:rFonts w:asciiTheme="minorHAnsi" w:hAnsiTheme="minorHAnsi"/>
      <w:sz w:val="20"/>
    </w:rPr>
  </w:style>
  <w:style w:type="character" w:customStyle="1" w:styleId="Char0">
    <w:name w:val="바닥글 Char"/>
    <w:basedOn w:val="a0"/>
    <w:link w:val="a4"/>
    <w:uiPriority w:val="99"/>
    <w:rsid w:val="00500F2E"/>
  </w:style>
  <w:style w:type="paragraph" w:styleId="a5">
    <w:name w:val="Balloon Text"/>
    <w:basedOn w:val="a"/>
    <w:link w:val="Char1"/>
    <w:uiPriority w:val="99"/>
    <w:semiHidden/>
    <w:unhideWhenUsed/>
    <w:rsid w:val="00FC72A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C72A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B70CF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Roboto Medium" w:eastAsia="Roboto Medium" w:cs="Roboto Medium"/>
      <w:color w:val="000000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514E10"/>
    <w:pPr>
      <w:widowControl/>
      <w:wordWrap/>
      <w:autoSpaceDE/>
      <w:autoSpaceDN/>
      <w:spacing w:line="240" w:lineRule="auto"/>
      <w:ind w:firstLineChars="0" w:firstLine="0"/>
      <w:jc w:val="left"/>
    </w:pPr>
    <w:rPr>
      <w:rFonts w:eastAsia="맑은 고딕" w:cs="Times New Roman"/>
      <w:noProof/>
      <w:szCs w:val="20"/>
    </w:rPr>
  </w:style>
  <w:style w:type="character" w:customStyle="1" w:styleId="EndNoteBibliographyChar">
    <w:name w:val="EndNote Bibliography Char"/>
    <w:basedOn w:val="a0"/>
    <w:link w:val="EndNoteBibliography"/>
    <w:rsid w:val="00514E10"/>
    <w:rPr>
      <w:rFonts w:ascii="Times New Roman" w:eastAsia="맑은 고딕" w:hAnsi="Times New Roman" w:cs="Times New Roman"/>
      <w:noProof/>
      <w:sz w:val="22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514E10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514E10"/>
    <w:rPr>
      <w:rFonts w:ascii="Times New Roman" w:hAnsi="Times New Roman" w:cs="Times New Roman"/>
      <w:noProof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2338</Characters>
  <Application>Microsoft Office Word</Application>
  <DocSecurity>0</DocSecurity>
  <Lines>292</Lines>
  <Paragraphs>77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윤원우</dc:creator>
  <cp:keywords/>
  <dc:description/>
  <cp:lastModifiedBy>고수본</cp:lastModifiedBy>
  <cp:revision>3</cp:revision>
  <cp:lastPrinted>2021-06-15T07:59:00Z</cp:lastPrinted>
  <dcterms:created xsi:type="dcterms:W3CDTF">2022-10-04T03:52:00Z</dcterms:created>
  <dcterms:modified xsi:type="dcterms:W3CDTF">2022-10-04T04:23:00Z</dcterms:modified>
</cp:coreProperties>
</file>