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CFB94" w14:textId="77777777" w:rsidR="001D4ECE" w:rsidRDefault="001D4ECE" w:rsidP="001D4E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3A286E" w14:textId="77777777" w:rsidR="001D4ECE" w:rsidRDefault="001D4ECE" w:rsidP="001D4E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E0F51D" w14:textId="77777777" w:rsidR="00522F06" w:rsidRPr="00522F06" w:rsidRDefault="00522F06" w:rsidP="00522F06">
      <w:pPr>
        <w:jc w:val="center"/>
        <w:rPr>
          <w:rFonts w:ascii="Gulim" w:eastAsia="Gulim" w:hAnsi="Gulim" w:cs="Gulim"/>
          <w:kern w:val="0"/>
          <w:sz w:val="24"/>
          <w:szCs w:val="24"/>
        </w:rPr>
      </w:pPr>
      <w:r w:rsidRPr="00522F06">
        <w:rPr>
          <w:rFonts w:ascii="Times New Roman" w:hAnsi="Times New Roman" w:cs="Times New Roman"/>
          <w:sz w:val="24"/>
          <w:szCs w:val="24"/>
        </w:rPr>
        <w:t>Spatiotemporal dynamics of solute mixing and redox dynamics in riparian floodplains</w:t>
      </w:r>
      <w:r w:rsidRPr="00522F06">
        <w:rPr>
          <w:rFonts w:ascii="Gulim" w:eastAsia="Gulim" w:hAnsi="Gulim" w:cs="Gulim"/>
          <w:kern w:val="0"/>
          <w:sz w:val="24"/>
          <w:szCs w:val="24"/>
        </w:rPr>
        <w:br/>
      </w:r>
    </w:p>
    <w:p w14:paraId="0634EA25" w14:textId="77777777" w:rsidR="00C87DA6" w:rsidRPr="00C87DA6" w:rsidRDefault="00C87DA6" w:rsidP="00C87DA6">
      <w:pPr>
        <w:widowControl/>
        <w:wordWrap/>
        <w:autoSpaceDE/>
        <w:autoSpaceDN/>
        <w:spacing w:after="0" w:line="240" w:lineRule="auto"/>
        <w:jc w:val="left"/>
        <w:rPr>
          <w:rFonts w:ascii="Gulim" w:eastAsia="Gulim" w:hAnsi="Gulim" w:cs="Gulim"/>
          <w:kern w:val="0"/>
          <w:sz w:val="24"/>
          <w:szCs w:val="24"/>
        </w:rPr>
      </w:pPr>
    </w:p>
    <w:p w14:paraId="39F50F1C" w14:textId="0951775F" w:rsidR="001D4ECE" w:rsidRPr="001D4ECE" w:rsidRDefault="001D4ECE" w:rsidP="001D4E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5D34F5" w14:textId="7B571D01" w:rsidR="001D4ECE" w:rsidRDefault="001D4ECE" w:rsidP="001D4ECE">
      <w:pPr>
        <w:jc w:val="center"/>
        <w:rPr>
          <w:rFonts w:ascii="Times New Roman" w:hAnsi="Times New Roman" w:cs="Times New Roman"/>
          <w:sz w:val="24"/>
          <w:szCs w:val="24"/>
        </w:rPr>
      </w:pPr>
      <w:r w:rsidRPr="001D4ECE">
        <w:rPr>
          <w:rFonts w:ascii="Times New Roman" w:hAnsi="Times New Roman" w:cs="Times New Roman"/>
          <w:sz w:val="24"/>
          <w:szCs w:val="24"/>
        </w:rPr>
        <w:t>Reza Soltanian</w:t>
      </w:r>
    </w:p>
    <w:p w14:paraId="5CAAA3B8" w14:textId="77777777" w:rsidR="001D4ECE" w:rsidRDefault="001D4ECE" w:rsidP="001D4ECE">
      <w:pPr>
        <w:jc w:val="center"/>
        <w:rPr>
          <w:rFonts w:ascii="Times New Roman" w:hAnsi="Times New Roman" w:cs="Times New Roman"/>
          <w:sz w:val="24"/>
          <w:szCs w:val="24"/>
        </w:rPr>
      </w:pPr>
      <w:r w:rsidRPr="001D4ECE">
        <w:rPr>
          <w:rFonts w:ascii="Times New Roman" w:hAnsi="Times New Roman" w:cs="Times New Roman"/>
          <w:sz w:val="24"/>
          <w:szCs w:val="24"/>
        </w:rPr>
        <w:t xml:space="preserve">Associate Professor of Hydrogeology </w:t>
      </w:r>
    </w:p>
    <w:p w14:paraId="5968CC95" w14:textId="74222321" w:rsidR="001D4ECE" w:rsidRPr="001D4ECE" w:rsidRDefault="001D4ECE" w:rsidP="001D4ECE">
      <w:pPr>
        <w:jc w:val="center"/>
        <w:rPr>
          <w:rFonts w:ascii="Times New Roman" w:hAnsi="Times New Roman" w:cs="Times New Roman"/>
          <w:sz w:val="24"/>
          <w:szCs w:val="24"/>
        </w:rPr>
      </w:pPr>
      <w:r w:rsidRPr="001D4ECE">
        <w:rPr>
          <w:rFonts w:ascii="Times New Roman" w:hAnsi="Times New Roman" w:cs="Times New Roman"/>
          <w:sz w:val="24"/>
          <w:szCs w:val="24"/>
        </w:rPr>
        <w:t>Departments of Geosciences and</w:t>
      </w:r>
    </w:p>
    <w:p w14:paraId="553D1F12" w14:textId="77777777" w:rsidR="001D4ECE" w:rsidRDefault="001D4ECE" w:rsidP="001D4ECE">
      <w:pPr>
        <w:jc w:val="center"/>
        <w:rPr>
          <w:rFonts w:ascii="Times New Roman" w:hAnsi="Times New Roman" w:cs="Times New Roman"/>
          <w:sz w:val="24"/>
          <w:szCs w:val="24"/>
        </w:rPr>
      </w:pPr>
      <w:r w:rsidRPr="001D4ECE">
        <w:rPr>
          <w:rFonts w:ascii="Times New Roman" w:hAnsi="Times New Roman" w:cs="Times New Roman"/>
          <w:sz w:val="24"/>
          <w:szCs w:val="24"/>
        </w:rPr>
        <w:t>Environmental Engineering</w:t>
      </w:r>
    </w:p>
    <w:p w14:paraId="05DC704A" w14:textId="3978D290" w:rsidR="001D4ECE" w:rsidRDefault="001D4ECE" w:rsidP="001D4ECE">
      <w:pPr>
        <w:jc w:val="center"/>
        <w:rPr>
          <w:rFonts w:ascii="Times New Roman" w:hAnsi="Times New Roman" w:cs="Times New Roman"/>
          <w:sz w:val="24"/>
          <w:szCs w:val="24"/>
        </w:rPr>
      </w:pPr>
      <w:r w:rsidRPr="001D4ECE">
        <w:rPr>
          <w:rFonts w:ascii="Times New Roman" w:hAnsi="Times New Roman" w:cs="Times New Roman"/>
          <w:sz w:val="24"/>
          <w:szCs w:val="24"/>
        </w:rPr>
        <w:t>University of Cincinnati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.S.A</w:t>
      </w:r>
    </w:p>
    <w:p w14:paraId="73744B32" w14:textId="77777777" w:rsidR="001D4ECE" w:rsidRPr="001D4ECE" w:rsidRDefault="001D4ECE" w:rsidP="001D4E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59ECF6" w14:textId="77777777" w:rsidR="00522F06" w:rsidRPr="00522F06" w:rsidRDefault="00522F06" w:rsidP="00522F06">
      <w:pPr>
        <w:ind w:firstLine="799"/>
        <w:jc w:val="left"/>
        <w:rPr>
          <w:rFonts w:ascii="Times New Roman" w:hAnsi="Times New Roman" w:cs="Times New Roman"/>
          <w:sz w:val="24"/>
          <w:szCs w:val="24"/>
        </w:rPr>
      </w:pPr>
      <w:r w:rsidRPr="00522F06">
        <w:rPr>
          <w:rFonts w:ascii="Times New Roman" w:hAnsi="Times New Roman" w:cs="Times New Roman"/>
          <w:sz w:val="24"/>
          <w:szCs w:val="24"/>
        </w:rPr>
        <w:t>The subsurface zone where river water and groundwater mix, known as the hyporheic zone, is a crucial ecotone that determines hydrologic and geochemical fluxes along river corridors. As water and nutrients interchange through microbially-active sediments, distinct biogeochemical hot spots develop, which are zones of enhanced reaction rates. These hot spots alter the geochemistry within the subsurface due to favorable conditions for the reactions. A comprehensive understanding of the formation and persistence of these hot spots is restricted by our inability to monitor changes in real-time and across multiple dimensions. I will discuss the results of our ongoing monitoring and modeling efforts, such as time-lapse redox sensing and reactive transport modeling, to identify the spatial distribution of geochemically active zones within a riparian floodplain at the Theis Environmental Monitoring and Modeling Site (TEMMS), Ohio, USA. I will highlight how the underlying sediment lithology plays a pivotal role in controlling the spatiotemporal dynamics of solute mixing and redox dynamics.</w:t>
      </w:r>
    </w:p>
    <w:p w14:paraId="6431563A" w14:textId="77777777" w:rsidR="00C87DA6" w:rsidRPr="00C87DA6" w:rsidRDefault="00C87DA6" w:rsidP="00C87DA6">
      <w:pPr>
        <w:widowControl/>
        <w:wordWrap/>
        <w:autoSpaceDE/>
        <w:autoSpaceDN/>
        <w:spacing w:after="0" w:line="240" w:lineRule="auto"/>
        <w:jc w:val="left"/>
        <w:rPr>
          <w:rFonts w:ascii="Gulim" w:eastAsia="Gulim" w:hAnsi="Gulim" w:cs="Gulim"/>
          <w:kern w:val="0"/>
          <w:sz w:val="24"/>
          <w:szCs w:val="24"/>
        </w:rPr>
      </w:pPr>
    </w:p>
    <w:p w14:paraId="331019FA" w14:textId="2EC723A5" w:rsidR="001D4ECE" w:rsidRPr="001D4ECE" w:rsidRDefault="001D4ECE" w:rsidP="00C87DA6">
      <w:pPr>
        <w:ind w:firstLineChars="300" w:firstLine="720"/>
        <w:jc w:val="left"/>
        <w:rPr>
          <w:rFonts w:ascii="Times New Roman" w:hAnsi="Times New Roman" w:cs="Times New Roman"/>
          <w:sz w:val="24"/>
          <w:szCs w:val="24"/>
        </w:rPr>
      </w:pPr>
    </w:p>
    <w:sectPr w:rsidR="001D4ECE" w:rsidRPr="001D4EC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ECE"/>
    <w:rsid w:val="001D4ECE"/>
    <w:rsid w:val="00522F06"/>
    <w:rsid w:val="006C52DB"/>
    <w:rsid w:val="00C8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B16C3"/>
  <w15:chartTrackingRefBased/>
  <w15:docId w15:val="{6AA524AA-679A-45EE-9A5C-4BD49A73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한원식</dc:creator>
  <cp:keywords/>
  <dc:description/>
  <cp:lastModifiedBy>Weon Shik Han</cp:lastModifiedBy>
  <cp:revision>3</cp:revision>
  <dcterms:created xsi:type="dcterms:W3CDTF">2023-09-13T23:37:00Z</dcterms:created>
  <dcterms:modified xsi:type="dcterms:W3CDTF">2023-09-22T04:25:00Z</dcterms:modified>
</cp:coreProperties>
</file>